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208776</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9 </w:t>
      </w:r>
      <w:r>
        <w:rPr>
          <w:rFonts w:ascii="Arial" w:hAnsi="Arial" w:cs="Arial"/>
          <w:b/>
          <w:bCs/>
          <w:sz w:val="24"/>
          <w:szCs w:val="24"/>
        </w:rPr>
        <w:t>–</w:t>
      </w:r>
      <w:r>
        <w:rPr>
          <w:rFonts w:hint="eastAsia" w:ascii="Arial" w:hAnsi="Arial" w:eastAsia="宋体" w:cs="Arial"/>
          <w:b/>
          <w:bCs/>
          <w:sz w:val="24"/>
          <w:szCs w:val="24"/>
          <w:lang w:val="en-US" w:eastAsia="zh-CN"/>
        </w:rPr>
        <w:t xml:space="preserve"> 20</w:t>
      </w:r>
      <w:r>
        <w:rPr>
          <w:rFonts w:ascii="Arial" w:hAnsi="Arial" w:cs="Arial"/>
          <w:b/>
          <w:bCs/>
          <w:sz w:val="24"/>
          <w:szCs w:val="24"/>
        </w:rPr>
        <w:t xml:space="preserve"> Ma</w:t>
      </w:r>
      <w:r>
        <w:rPr>
          <w:rFonts w:hint="eastAsia" w:ascii="Arial" w:hAnsi="Arial" w:eastAsia="宋体" w:cs="Arial"/>
          <w:b/>
          <w:bCs/>
          <w:sz w:val="24"/>
          <w:szCs w:val="24"/>
          <w:lang w:val="en-US" w:eastAsia="zh-CN"/>
        </w:rPr>
        <w:t>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Unified TCI for DL and UL</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highlight w:val="none"/>
        </w:rPr>
        <w:tab/>
      </w:r>
      <w:r>
        <w:rPr>
          <w:rFonts w:hint="eastAsia" w:eastAsia="宋体"/>
          <w:color w:val="auto"/>
          <w:sz w:val="24"/>
          <w:highlight w:val="none"/>
          <w:lang w:val="en-US" w:eastAsia="zh-CN"/>
        </w:rPr>
        <w:t>9.18.2.1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kern w:val="2"/>
          <w:sz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a way forward on RRM impact for unified TCI in FeMIMO was approved in [1]. Based on the conclusion in 102 e-meeting, for both joint TCI mode and separate TCI mode, some remaining issues are still open, further discussion are needed. </w:t>
      </w:r>
      <w:r>
        <w:rPr>
          <w:rFonts w:hint="eastAsia" w:eastAsia="宋体"/>
          <w:kern w:val="2"/>
          <w:sz w:val="21"/>
          <w:lang w:val="en-US" w:eastAsia="zh-CN"/>
        </w:rPr>
        <w:t>In this document, we give our analysis for the following issues.</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Switching delay requirements for unified TCI associated with SC</w:t>
      </w:r>
    </w:p>
    <w:p>
      <w:pPr>
        <w:pStyle w:val="28"/>
        <w:keepNext w:val="0"/>
        <w:keepLines w:val="0"/>
        <w:pageBreakBefore w:val="0"/>
        <w:widowControl w:val="0"/>
        <w:numPr>
          <w:ilvl w:val="1"/>
          <w:numId w:val="5"/>
        </w:numPr>
        <w:kinsoku/>
        <w:wordWrap/>
        <w:topLinePunct w:val="0"/>
        <w:bidi w:val="0"/>
        <w:snapToGrid/>
        <w:ind w:hanging="363"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Requirement applicability of DCI based DL and UL TCI state switching delay</w:t>
      </w:r>
    </w:p>
    <w:p>
      <w:pPr>
        <w:pStyle w:val="28"/>
        <w:keepNext w:val="0"/>
        <w:keepLines w:val="0"/>
        <w:pageBreakBefore w:val="0"/>
        <w:widowControl w:val="0"/>
        <w:numPr>
          <w:ilvl w:val="1"/>
          <w:numId w:val="5"/>
        </w:numPr>
        <w:kinsoku/>
        <w:wordWrap/>
        <w:topLinePunct w:val="0"/>
        <w:bidi w:val="0"/>
        <w:snapToGrid/>
        <w:ind w:hanging="363"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MAC-CE based UL TCI state switching delay when SSB is indicated as PL-RS in UL TCI state for FR2 </w:t>
      </w:r>
    </w:p>
    <w:p>
      <w:pPr>
        <w:pStyle w:val="28"/>
        <w:keepNext w:val="0"/>
        <w:keepLines w:val="0"/>
        <w:pageBreakBefore w:val="0"/>
        <w:widowControl w:val="0"/>
        <w:numPr>
          <w:ilvl w:val="1"/>
          <w:numId w:val="5"/>
        </w:numPr>
        <w:kinsoku/>
        <w:wordWrap/>
        <w:topLinePunct w:val="0"/>
        <w:bidi w:val="0"/>
        <w:snapToGrid/>
        <w:ind w:hanging="363"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TCI state-pair indication requirement </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Delay requirements for TCI switching in CA case</w:t>
      </w:r>
    </w:p>
    <w:p>
      <w:pPr>
        <w:pStyle w:val="28"/>
        <w:keepNext w:val="0"/>
        <w:keepLines w:val="0"/>
        <w:pageBreakBefore w:val="0"/>
        <w:widowControl w:val="0"/>
        <w:numPr>
          <w:ilvl w:val="1"/>
          <w:numId w:val="5"/>
        </w:numPr>
        <w:kinsoku/>
        <w:wordWrap/>
        <w:topLinePunct w:val="0"/>
        <w:bidi w:val="0"/>
        <w:snapToGrid/>
        <w:ind w:hanging="363"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Known condition in CA scenario </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Requirements for PL-RS switching delay indicated by unified TCI</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color w:val="auto"/>
          <w:sz w:val="20"/>
          <w:szCs w:val="20"/>
          <w:lang w:val="en-US" w:eastAsia="zh-CN" w:bidi="ar-SA"/>
        </w:rPr>
      </w:pPr>
      <w:bookmarkStart w:id="0" w:name="OLE_LINK9"/>
      <w:r>
        <w:rPr>
          <w:rFonts w:hint="eastAsia" w:ascii="Times New Roman" w:hAnsi="Times New Roman" w:eastAsia="宋体" w:cs="Times New Roman"/>
          <w:color w:val="auto"/>
          <w:kern w:val="0"/>
          <w:sz w:val="20"/>
          <w:szCs w:val="20"/>
          <w:lang w:val="en-US" w:eastAsia="zh-CN" w:bidi="ar-SA"/>
        </w:rPr>
        <w:t>Whether to define MAC CE based PL-RS switching requirement when PL-RS is unknown</w:t>
      </w:r>
      <w:bookmarkEnd w:id="0"/>
      <w:bookmarkStart w:id="1" w:name="OLE_LINK1"/>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Switching delay requirements for unified TCI associated with SC</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Requirement applicability of DCI based DL and UL TCI state switching delay</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DCI based DL and UL TCI state switching delay, the requirements have been identified respectively with in the approved CR during 102 meeting. Aligned with legacy DCI based TCI state switching delay, the requirements only apply for known target TCI state case. To further clarify the applicability of the requirements, the following option was proposed in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96" w:leftChars="0" w:hanging="360" w:firstLineChars="0"/>
              <w:textAlignment w:val="auto"/>
              <w:rPr>
                <w:rFonts w:eastAsiaTheme="minorEastAsia"/>
                <w:lang w:val="sv-SE" w:eastAsia="zh-CN"/>
              </w:rPr>
            </w:pPr>
            <w:r>
              <w:rPr>
                <w:rFonts w:hint="eastAsia" w:eastAsiaTheme="minorEastAsia"/>
                <w:lang w:val="sv-SE" w:eastAsia="zh-CN"/>
              </w:rPr>
              <w:t>O</w:t>
            </w:r>
            <w:r>
              <w:rPr>
                <w:rFonts w:eastAsiaTheme="minorEastAsia"/>
                <w:lang w:val="sv-SE" w:eastAsia="zh-CN"/>
              </w:rPr>
              <w:t>ption 1:</w:t>
            </w:r>
          </w:p>
          <w:p>
            <w:pPr>
              <w:pStyle w:val="3"/>
              <w:keepNext w:val="0"/>
              <w:keepLines w:val="0"/>
              <w:pageBreakBefore w:val="0"/>
              <w:widowControl/>
              <w:kinsoku/>
              <w:wordWrap/>
              <w:overflowPunct/>
              <w:topLinePunct w:val="0"/>
              <w:autoSpaceDE/>
              <w:autoSpaceDN/>
              <w:bidi w:val="0"/>
              <w:adjustRightInd/>
              <w:snapToGrid/>
              <w:ind w:leftChars="100"/>
              <w:textAlignment w:val="auto"/>
              <w:rPr>
                <w:rFonts w:hint="eastAsia"/>
                <w:vertAlign w:val="baseline"/>
                <w:lang w:val="en-US" w:eastAsia="zh-CN"/>
              </w:rPr>
            </w:pPr>
            <w:r>
              <w:rPr>
                <w:lang w:val="sv-SE" w:eastAsia="zh-CN"/>
              </w:rPr>
              <w:t>When target TCI state is known, is in active TCI state list for DL and joint TCI switch, is maintained for UL and joint TCI state switch.</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 xml:space="preserve">Some company including us had concern about the last case, i.e. </w:t>
      </w:r>
      <w:r>
        <w:rPr>
          <w:rFonts w:hint="default"/>
          <w:lang w:val="en-US" w:eastAsia="zh-CN"/>
        </w:rPr>
        <w:t>“</w:t>
      </w:r>
      <w:r>
        <w:rPr>
          <w:rFonts w:hint="eastAsia"/>
          <w:lang w:val="en-US" w:eastAsia="zh-CN"/>
        </w:rPr>
        <w:t>maintained for UL and joint TCI state switch</w:t>
      </w:r>
      <w:r>
        <w:rPr>
          <w:rFonts w:hint="default"/>
          <w:lang w:val="en-US" w:eastAsia="zh-CN"/>
        </w:rPr>
        <w:t>”</w:t>
      </w:r>
      <w:r>
        <w:rPr>
          <w:rFonts w:hint="eastAsia"/>
          <w:lang w:val="en-US" w:eastAsia="zh-CN"/>
        </w:rPr>
        <w:t xml:space="preserve">, since when we say </w:t>
      </w:r>
      <w:r>
        <w:rPr>
          <w:rFonts w:hint="default"/>
          <w:lang w:val="en-US" w:eastAsia="zh-CN"/>
        </w:rPr>
        <w:t>“</w:t>
      </w:r>
      <w:r>
        <w:rPr>
          <w:rFonts w:hint="eastAsia"/>
          <w:lang w:val="en-US" w:eastAsia="zh-CN"/>
        </w:rPr>
        <w:t>maintained</w:t>
      </w:r>
      <w:r>
        <w:rPr>
          <w:rFonts w:hint="default"/>
          <w:lang w:val="en-US" w:eastAsia="zh-CN"/>
        </w:rPr>
        <w:t>”</w:t>
      </w:r>
      <w:r>
        <w:rPr>
          <w:rFonts w:hint="eastAsia"/>
          <w:lang w:val="en-US" w:eastAsia="zh-CN"/>
        </w:rPr>
        <w:t>, it usually relates to PL-RS switching, not directly relates to UL TCI state switching. After further check the definition of maintain in RAN1 conclusion, in RAN1#105 meeting, the following was approved: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7" w:type="dxa"/>
          </w:tcPr>
          <w:p>
            <w:pPr>
              <w:rPr>
                <w:rFonts w:hint="default" w:cs="Times New Roman"/>
                <w:b w:val="0"/>
                <w:bCs/>
                <w:kern w:val="44"/>
                <w:sz w:val="21"/>
                <w:szCs w:val="21"/>
                <w:highlight w:val="green"/>
                <w:lang w:val="en-US" w:eastAsia="zh-CN" w:bidi="ar-SA"/>
              </w:rPr>
            </w:pPr>
            <w:r>
              <w:rPr>
                <w:rFonts w:hint="eastAsia" w:cs="Times New Roman"/>
                <w:b w:val="0"/>
                <w:bCs/>
                <w:kern w:val="44"/>
                <w:sz w:val="21"/>
                <w:szCs w:val="21"/>
                <w:highlight w:val="green"/>
                <w:lang w:val="en-US" w:eastAsia="zh-CN" w:bidi="ar-SA"/>
              </w:rPr>
              <w:t>Agreement in RAN1#105</w:t>
            </w:r>
          </w:p>
          <w:p>
            <w:pPr>
              <w:rPr>
                <w:rFonts w:hint="eastAsia" w:cs="Times New Roman"/>
                <w:b w:val="0"/>
                <w:bCs/>
                <w:kern w:val="44"/>
                <w:sz w:val="21"/>
                <w:szCs w:val="21"/>
                <w:lang w:val="en-US" w:eastAsia="zh-CN" w:bidi="ar-SA"/>
              </w:rPr>
            </w:pPr>
            <w:r>
              <w:rPr>
                <w:rFonts w:hint="eastAsia" w:cs="Times New Roman"/>
                <w:b w:val="0"/>
                <w:bCs/>
                <w:kern w:val="44"/>
                <w:sz w:val="21"/>
                <w:szCs w:val="21"/>
                <w:lang w:val="en-US" w:eastAsia="zh-CN" w:bidi="ar-SA"/>
              </w:rPr>
              <w:t>The UE maintains the PL-RS of the activated UL TCI state or (if applicable) joint TCI state</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Based on the above agreement, it means that if the UL TCI state or joint TCI state is activated, UE will maintain the PL-RS which may included in or associated with the TCI state. With such assumption, we believe not need to concern for </w:t>
      </w:r>
      <w:r>
        <w:rPr>
          <w:rFonts w:hint="default"/>
          <w:lang w:val="en-US" w:eastAsia="zh-CN"/>
        </w:rPr>
        <w:t>“</w:t>
      </w:r>
      <w:r>
        <w:rPr>
          <w:rFonts w:hint="eastAsia"/>
          <w:lang w:val="en-US" w:eastAsia="zh-CN"/>
        </w:rPr>
        <w:t>maintained</w:t>
      </w:r>
      <w:r>
        <w:rPr>
          <w:rFonts w:hint="default"/>
          <w:lang w:val="en-US" w:eastAsia="zh-CN"/>
        </w:rPr>
        <w:t>”</w:t>
      </w:r>
      <w:r>
        <w:rPr>
          <w:rFonts w:hint="eastAsia"/>
          <w:lang w:val="en-US" w:eastAsia="zh-CN"/>
        </w:rPr>
        <w:t xml:space="preserve"> case. So the requirement applicability is necessary to be clarified as: </w:t>
      </w:r>
    </w:p>
    <w:p>
      <w:pPr>
        <w:pStyle w:val="28"/>
        <w:keepNext w:val="0"/>
        <w:keepLines w:val="0"/>
        <w:pageBreakBefore w:val="0"/>
        <w:widowControl w:val="0"/>
        <w:numPr>
          <w:ilvl w:val="0"/>
          <w:numId w:val="6"/>
        </w:numPr>
        <w:kinsoku/>
        <w:wordWrap/>
        <w:topLinePunct w:val="0"/>
        <w:bidi w:val="0"/>
        <w:snapToGrid/>
        <w:ind w:firstLineChars="0"/>
        <w:rPr>
          <w:rFonts w:hint="eastAsia" w:ascii="Times New Roman" w:hAnsi="Times New Roman" w:eastAsia="MS Mincho" w:cs="Times New Roman"/>
          <w:kern w:val="0"/>
          <w:sz w:val="20"/>
          <w:szCs w:val="24"/>
          <w:lang w:val="en-US" w:eastAsia="zh-CN" w:bidi="ar-SA"/>
        </w:rPr>
      </w:pPr>
      <w:r>
        <w:rPr>
          <w:rFonts w:hint="eastAsia" w:ascii="Times New Roman" w:hAnsi="Times New Roman" w:eastAsia="MS Mincho" w:cs="Times New Roman"/>
          <w:kern w:val="0"/>
          <w:sz w:val="20"/>
          <w:szCs w:val="24"/>
          <w:lang w:val="en-US" w:eastAsia="zh-CN" w:bidi="ar-SA"/>
        </w:rPr>
        <w:t xml:space="preserve"> When target TCI state is known</w:t>
      </w:r>
    </w:p>
    <w:p>
      <w:pPr>
        <w:pStyle w:val="28"/>
        <w:keepNext w:val="0"/>
        <w:keepLines w:val="0"/>
        <w:pageBreakBefore w:val="0"/>
        <w:widowControl w:val="0"/>
        <w:numPr>
          <w:ilvl w:val="0"/>
          <w:numId w:val="6"/>
        </w:numPr>
        <w:kinsoku/>
        <w:wordWrap/>
        <w:topLinePunct w:val="0"/>
        <w:bidi w:val="0"/>
        <w:snapToGrid/>
        <w:ind w:firstLineChars="0"/>
        <w:rPr>
          <w:rFonts w:hint="default" w:ascii="Times New Roman" w:hAnsi="Times New Roman" w:eastAsia="MS Mincho" w:cs="Times New Roman"/>
          <w:kern w:val="0"/>
          <w:sz w:val="20"/>
          <w:szCs w:val="24"/>
          <w:lang w:val="en-US" w:eastAsia="zh-CN" w:bidi="ar-SA"/>
        </w:rPr>
      </w:pPr>
      <w:r>
        <w:rPr>
          <w:rFonts w:hint="eastAsia" w:ascii="Times New Roman" w:hAnsi="Times New Roman" w:eastAsia="MS Mincho" w:cs="Times New Roman"/>
          <w:kern w:val="0"/>
          <w:sz w:val="20"/>
          <w:szCs w:val="24"/>
          <w:lang w:val="en-US" w:eastAsia="zh-CN" w:bidi="ar-SA"/>
        </w:rPr>
        <w:t>When target TCI state is in active TCI state list for DL and joint TCI switch</w:t>
      </w:r>
    </w:p>
    <w:p>
      <w:pPr>
        <w:pStyle w:val="28"/>
        <w:keepNext w:val="0"/>
        <w:keepLines w:val="0"/>
        <w:pageBreakBefore w:val="0"/>
        <w:widowControl w:val="0"/>
        <w:numPr>
          <w:ilvl w:val="0"/>
          <w:numId w:val="6"/>
        </w:numPr>
        <w:kinsoku/>
        <w:wordWrap/>
        <w:topLinePunct w:val="0"/>
        <w:bidi w:val="0"/>
        <w:snapToGrid/>
        <w:ind w:firstLineChars="0"/>
        <w:rPr>
          <w:rFonts w:hint="default" w:ascii="Times New Roman" w:hAnsi="Times New Roman" w:eastAsia="MS Mincho" w:cs="Times New Roman"/>
          <w:kern w:val="0"/>
          <w:sz w:val="20"/>
          <w:szCs w:val="24"/>
          <w:lang w:val="en-US" w:eastAsia="zh-CN" w:bidi="ar-SA"/>
        </w:rPr>
      </w:pPr>
      <w:r>
        <w:rPr>
          <w:rFonts w:hint="eastAsia" w:ascii="Times New Roman" w:hAnsi="Times New Roman" w:eastAsia="MS Mincho" w:cs="Times New Roman"/>
          <w:kern w:val="0"/>
          <w:sz w:val="20"/>
          <w:szCs w:val="24"/>
          <w:lang w:val="en-US" w:eastAsia="zh-CN" w:bidi="ar-SA"/>
        </w:rPr>
        <w:t>When target TCI state is maintained for UL and joint TCI state switch.</w:t>
      </w:r>
    </w:p>
    <w:p>
      <w:pPr>
        <w:pStyle w:val="3"/>
        <w:rPr>
          <w:rFonts w:hint="eastAsia" w:eastAsia="宋体" w:cs="Times New Roman"/>
          <w:b/>
          <w:bCs/>
          <w:color w:val="auto"/>
          <w:sz w:val="21"/>
          <w:szCs w:val="21"/>
          <w:highlight w:val="none"/>
          <w:lang w:val="en-US" w:eastAsia="zh-CN" w:bidi="ar-SA"/>
        </w:rPr>
      </w:pPr>
      <w:bookmarkStart w:id="2" w:name="OLE_LINK3"/>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It is necessary to clarify t</w:t>
      </w:r>
      <w:r>
        <w:rPr>
          <w:rFonts w:hint="eastAsia" w:ascii="Times New Roman" w:hAnsi="Times New Roman" w:eastAsia="宋体" w:cs="Times New Roman"/>
          <w:b/>
          <w:bCs/>
          <w:color w:val="auto"/>
          <w:sz w:val="21"/>
          <w:szCs w:val="21"/>
          <w:highlight w:val="none"/>
          <w:lang w:val="en-US" w:eastAsia="zh-CN" w:bidi="ar-SA"/>
        </w:rPr>
        <w:t xml:space="preserve">he </w:t>
      </w:r>
      <w:r>
        <w:rPr>
          <w:rFonts w:hint="eastAsia" w:eastAsia="宋体" w:cs="Times New Roman"/>
          <w:b/>
          <w:bCs/>
          <w:color w:val="auto"/>
          <w:sz w:val="21"/>
          <w:szCs w:val="21"/>
          <w:highlight w:val="none"/>
          <w:lang w:val="en-US" w:eastAsia="zh-CN" w:bidi="ar-SA"/>
        </w:rPr>
        <w:t>applicability of DCI base TCI state switching delay requirements, including the following three cases: 1) When target TCI state is known; 2) When target TCI state is in active TCI state list for DL and joint TCI switch; 3) When target TCI state is maintained for UL and joint TCI state switch.</w:t>
      </w:r>
    </w:p>
    <w:bookmarkEnd w:id="2"/>
    <w:p>
      <w:pPr>
        <w:pStyle w:val="3"/>
        <w:rPr>
          <w:rFonts w:hint="eastAsia" w:ascii="Times New Roman" w:hAnsi="Times New Roman" w:cs="Times New Roman"/>
          <w:b/>
          <w:bCs/>
          <w:color w:val="auto"/>
          <w:sz w:val="20"/>
          <w:szCs w:val="20"/>
          <w:u w:val="single"/>
          <w:lang w:val="en-US" w:eastAsia="zh-CN" w:bidi="ar-SA"/>
        </w:rPr>
      </w:pPr>
      <w:r>
        <w:rPr>
          <w:rFonts w:hint="eastAsia" w:eastAsia="宋体" w:cs="Times New Roman"/>
          <w:b/>
          <w:bCs/>
          <w:color w:val="auto"/>
          <w:sz w:val="21"/>
          <w:szCs w:val="21"/>
          <w:highlight w:val="none"/>
          <w:lang w:val="en-US" w:eastAsia="zh-CN" w:bidi="ar-SA"/>
        </w:rPr>
        <w:t xml:space="preserve"> </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 xml:space="preserve">MAC-CE based UL TCI state switching delay when </w:t>
      </w:r>
      <w:bookmarkStart w:id="3" w:name="OLE_LINK7"/>
      <w:r>
        <w:rPr>
          <w:rFonts w:hint="eastAsia" w:ascii="Times New Roman" w:hAnsi="Times New Roman" w:cs="Times New Roman"/>
          <w:b/>
          <w:bCs/>
          <w:color w:val="auto"/>
          <w:sz w:val="20"/>
          <w:szCs w:val="20"/>
          <w:u w:val="single"/>
          <w:lang w:val="en-US" w:eastAsia="zh-CN" w:bidi="ar-SA"/>
        </w:rPr>
        <w:t xml:space="preserve">SSB is indicated as PL-RS in </w:t>
      </w:r>
      <w:bookmarkStart w:id="4" w:name="OLE_LINK6"/>
      <w:r>
        <w:rPr>
          <w:rFonts w:hint="eastAsia" w:ascii="Times New Roman" w:hAnsi="Times New Roman" w:cs="Times New Roman"/>
          <w:b/>
          <w:bCs/>
          <w:color w:val="auto"/>
          <w:sz w:val="20"/>
          <w:szCs w:val="20"/>
          <w:u w:val="single"/>
          <w:lang w:val="en-US" w:eastAsia="zh-CN" w:bidi="ar-SA"/>
        </w:rPr>
        <w:t>UL TCI state</w:t>
      </w:r>
      <w:bookmarkEnd w:id="3"/>
      <w:r>
        <w:rPr>
          <w:rFonts w:hint="eastAsia" w:ascii="Times New Roman" w:hAnsi="Times New Roman" w:cs="Times New Roman"/>
          <w:b/>
          <w:bCs/>
          <w:color w:val="auto"/>
          <w:sz w:val="20"/>
          <w:szCs w:val="20"/>
          <w:u w:val="single"/>
          <w:lang w:val="en-US" w:eastAsia="zh-CN" w:bidi="ar-SA"/>
        </w:rPr>
        <w:t xml:space="preserve"> for FR2</w:t>
      </w:r>
      <w:bookmarkEnd w:id="4"/>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About this issue, the following options were proposed during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5"/>
              </w:numPr>
              <w:kinsoku/>
              <w:wordWrap/>
              <w:overflowPunct/>
              <w:topLinePunct w:val="0"/>
              <w:autoSpaceDE/>
              <w:autoSpaceDN/>
              <w:bidi w:val="0"/>
              <w:adjustRightInd/>
              <w:snapToGrid/>
              <w:ind w:left="936" w:leftChars="0" w:hanging="363" w:firstLineChars="0"/>
              <w:textAlignment w:val="auto"/>
              <w:rPr>
                <w:rFonts w:eastAsiaTheme="minorEastAsia"/>
                <w:bCs/>
                <w:lang w:eastAsia="zh-CN"/>
              </w:rPr>
            </w:pPr>
            <w:r>
              <w:rPr>
                <w:rFonts w:eastAsiaTheme="minorEastAsia"/>
                <w:bCs/>
                <w:lang w:eastAsia="zh-CN"/>
              </w:rPr>
              <w:t>Option 1:</w:t>
            </w:r>
          </w:p>
          <w:p>
            <w:pPr>
              <w:pStyle w:val="28"/>
              <w:keepNext w:val="0"/>
              <w:keepLines w:val="0"/>
              <w:pageBreakBefore w:val="0"/>
              <w:widowControl w:val="0"/>
              <w:numPr>
                <w:ilvl w:val="1"/>
                <w:numId w:val="5"/>
              </w:numPr>
              <w:kinsoku/>
              <w:wordWrap/>
              <w:overflowPunct/>
              <w:topLinePunct w:val="0"/>
              <w:autoSpaceDE/>
              <w:autoSpaceDN/>
              <w:bidi w:val="0"/>
              <w:adjustRightInd/>
              <w:snapToGrid/>
              <w:ind w:left="1656" w:leftChars="0" w:hanging="363" w:firstLineChars="0"/>
              <w:textAlignment w:val="auto"/>
              <w:rPr>
                <w:lang w:val="sv-SE" w:eastAsia="zh-CN"/>
              </w:rPr>
            </w:pPr>
            <w:r>
              <w:rPr>
                <w:lang w:val="sv-SE" w:eastAsia="zh-CN"/>
              </w:rPr>
              <w:t>When a SSB is indicated as PL-RS in a UL TCI state, the scaling factor for beam sweeping needs to be introduced for PL-RS measurement time in FR2.</w:t>
            </w:r>
          </w:p>
          <w:p>
            <w:pPr>
              <w:pStyle w:val="28"/>
              <w:keepNext w:val="0"/>
              <w:keepLines w:val="0"/>
              <w:pageBreakBefore w:val="0"/>
              <w:widowControl w:val="0"/>
              <w:numPr>
                <w:ilvl w:val="1"/>
                <w:numId w:val="5"/>
              </w:numPr>
              <w:kinsoku/>
              <w:wordWrap/>
              <w:overflowPunct/>
              <w:topLinePunct w:val="0"/>
              <w:autoSpaceDE/>
              <w:autoSpaceDN/>
              <w:bidi w:val="0"/>
              <w:adjustRightInd/>
              <w:snapToGrid/>
              <w:ind w:left="1656" w:leftChars="0" w:hanging="363" w:firstLineChars="0"/>
              <w:textAlignment w:val="auto"/>
              <w:rPr>
                <w:lang w:val="sv-SE" w:eastAsia="zh-CN"/>
              </w:rPr>
            </w:pPr>
            <w:r>
              <w:rPr>
                <w:lang w:val="sv-SE" w:eastAsia="zh-CN"/>
              </w:rPr>
              <w:t>In FR2, the MAC-CE based UL TCI state switching delay need to be separately defined for SSB based PL-RS.</w:t>
            </w:r>
          </w:p>
          <w:p>
            <w:pPr>
              <w:pStyle w:val="28"/>
              <w:keepNext w:val="0"/>
              <w:keepLines w:val="0"/>
              <w:pageBreakBefore w:val="0"/>
              <w:widowControl w:val="0"/>
              <w:numPr>
                <w:ilvl w:val="1"/>
                <w:numId w:val="5"/>
              </w:numPr>
              <w:kinsoku/>
              <w:wordWrap/>
              <w:overflowPunct/>
              <w:topLinePunct w:val="0"/>
              <w:autoSpaceDE/>
              <w:autoSpaceDN/>
              <w:bidi w:val="0"/>
              <w:adjustRightInd/>
              <w:snapToGrid/>
              <w:ind w:left="1656" w:leftChars="0" w:hanging="363"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pPr>
              <w:pStyle w:val="28"/>
              <w:keepNext w:val="0"/>
              <w:keepLines w:val="0"/>
              <w:pageBreakBefore w:val="0"/>
              <w:widowControl w:val="0"/>
              <w:numPr>
                <w:ilvl w:val="1"/>
                <w:numId w:val="7"/>
              </w:numPr>
              <w:kinsoku/>
              <w:wordWrap/>
              <w:overflowPunct/>
              <w:topLinePunct w:val="0"/>
              <w:autoSpaceDE/>
              <w:autoSpaceDN/>
              <w:bidi w:val="0"/>
              <w:adjustRightInd/>
              <w:snapToGrid/>
              <w:ind w:left="2460" w:leftChars="0" w:hanging="363"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pPr>
              <w:pStyle w:val="28"/>
              <w:keepNext w:val="0"/>
              <w:keepLines w:val="0"/>
              <w:pageBreakBefore w:val="0"/>
              <w:widowControl w:val="0"/>
              <w:numPr>
                <w:ilvl w:val="1"/>
                <w:numId w:val="7"/>
              </w:numPr>
              <w:kinsoku/>
              <w:wordWrap/>
              <w:overflowPunct/>
              <w:topLinePunct w:val="0"/>
              <w:autoSpaceDE/>
              <w:autoSpaceDN/>
              <w:bidi w:val="0"/>
              <w:adjustRightInd/>
              <w:snapToGrid/>
              <w:ind w:left="2460" w:leftChars="0" w:hanging="363"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pPr>
              <w:pStyle w:val="28"/>
              <w:keepNext w:val="0"/>
              <w:keepLines w:val="0"/>
              <w:pageBreakBefore w:val="0"/>
              <w:widowControl w:val="0"/>
              <w:numPr>
                <w:ilvl w:val="0"/>
                <w:numId w:val="5"/>
              </w:numPr>
              <w:kinsoku/>
              <w:wordWrap/>
              <w:overflowPunct/>
              <w:topLinePunct w:val="0"/>
              <w:autoSpaceDE/>
              <w:autoSpaceDN/>
              <w:bidi w:val="0"/>
              <w:adjustRightInd/>
              <w:snapToGrid/>
              <w:ind w:left="936" w:leftChars="0" w:hanging="363" w:firstLineChars="0"/>
              <w:textAlignment w:val="auto"/>
              <w:rPr>
                <w:rFonts w:eastAsiaTheme="minorEastAsia"/>
                <w:bCs/>
                <w:lang w:eastAsia="zh-CN"/>
              </w:rPr>
            </w:pPr>
            <w:r>
              <w:rPr>
                <w:rFonts w:eastAsiaTheme="minorEastAsia"/>
                <w:bCs/>
                <w:lang w:eastAsia="zh-CN"/>
              </w:rPr>
              <w:t>Option 1a: The delay is</w:t>
            </w:r>
          </w:p>
          <w:p>
            <w:pPr>
              <w:pStyle w:val="28"/>
              <w:keepNext w:val="0"/>
              <w:keepLines w:val="0"/>
              <w:pageBreakBefore w:val="0"/>
              <w:widowControl w:val="0"/>
              <w:numPr>
                <w:ilvl w:val="1"/>
                <w:numId w:val="7"/>
              </w:numPr>
              <w:kinsoku/>
              <w:wordWrap/>
              <w:overflowPunct/>
              <w:topLinePunct w:val="0"/>
              <w:autoSpaceDE/>
              <w:autoSpaceDN/>
              <w:bidi w:val="0"/>
              <w:adjustRightInd/>
              <w:snapToGrid/>
              <w:ind w:left="2460" w:leftChars="0" w:hanging="363" w:firstLineChars="0"/>
              <w:textAlignment w:val="auto"/>
              <w:rPr>
                <w:rFonts w:eastAsiaTheme="minorEastAsia"/>
                <w:b/>
                <w:u w:val="single"/>
                <w:lang w:val="en-US" w:eastAsia="zh-CN"/>
              </w:rPr>
            </w:pPr>
            <w:r>
              <w:rPr>
                <w:rFonts w:eastAsiaTheme="minorEastAsia"/>
                <w:bCs/>
                <w:iCs/>
                <w:lang w:val="en-US" w:eastAsia="zh-CN"/>
              </w:rPr>
              <w:t xml:space="preserve"> T</w:t>
            </w:r>
            <w:r>
              <w:rPr>
                <w:rFonts w:eastAsiaTheme="minorEastAsia"/>
                <w:bCs/>
                <w:iCs/>
                <w:vertAlign w:val="subscript"/>
                <w:lang w:val="en-US" w:eastAsia="zh-CN"/>
              </w:rPr>
              <w:t>FirstSSB</w:t>
            </w:r>
            <w:r>
              <w:rPr>
                <w:rFonts w:eastAsiaTheme="minorEastAsia"/>
                <w:bCs/>
                <w:iCs/>
                <w:lang w:val="en-US" w:eastAsia="zh-CN"/>
              </w:rPr>
              <w:t xml:space="preserve"> + 39*T</w:t>
            </w:r>
            <w:r>
              <w:rPr>
                <w:rFonts w:eastAsiaTheme="minorEastAsia"/>
                <w:bCs/>
                <w:iCs/>
                <w:vertAlign w:val="subscript"/>
                <w:lang w:val="en-US" w:eastAsia="zh-CN"/>
              </w:rPr>
              <w:t>SSB</w:t>
            </w:r>
          </w:p>
          <w:p>
            <w:pPr>
              <w:pStyle w:val="28"/>
              <w:keepNext w:val="0"/>
              <w:keepLines w:val="0"/>
              <w:pageBreakBefore w:val="0"/>
              <w:widowControl w:val="0"/>
              <w:numPr>
                <w:ilvl w:val="0"/>
                <w:numId w:val="5"/>
              </w:numPr>
              <w:kinsoku/>
              <w:wordWrap/>
              <w:overflowPunct/>
              <w:topLinePunct w:val="0"/>
              <w:autoSpaceDE/>
              <w:autoSpaceDN/>
              <w:bidi w:val="0"/>
              <w:adjustRightInd/>
              <w:snapToGrid/>
              <w:ind w:left="936" w:leftChars="0" w:hanging="363" w:firstLineChars="0"/>
              <w:textAlignment w:val="auto"/>
              <w:rPr>
                <w:rFonts w:eastAsiaTheme="minorEastAsia"/>
                <w:bCs/>
                <w:lang w:eastAsia="zh-CN"/>
              </w:rPr>
            </w:pPr>
            <w:r>
              <w:rPr>
                <w:rFonts w:eastAsiaTheme="minorEastAsia"/>
                <w:bCs/>
                <w:lang w:eastAsia="zh-CN"/>
              </w:rPr>
              <w:t xml:space="preserve">Option 2: </w:t>
            </w:r>
          </w:p>
          <w:p>
            <w:pPr>
              <w:pStyle w:val="28"/>
              <w:keepNext w:val="0"/>
              <w:keepLines w:val="0"/>
              <w:pageBreakBefore w:val="0"/>
              <w:widowControl w:val="0"/>
              <w:numPr>
                <w:ilvl w:val="1"/>
                <w:numId w:val="7"/>
              </w:numPr>
              <w:kinsoku/>
              <w:wordWrap/>
              <w:overflowPunct/>
              <w:topLinePunct w:val="0"/>
              <w:autoSpaceDE/>
              <w:autoSpaceDN/>
              <w:bidi w:val="0"/>
              <w:adjustRightInd/>
              <w:snapToGrid/>
              <w:ind w:left="2460" w:leftChars="0" w:hanging="363" w:firstLineChars="0"/>
              <w:textAlignment w:val="auto"/>
              <w:rPr>
                <w:rFonts w:eastAsiaTheme="minorEastAsia"/>
                <w:bCs/>
                <w:lang w:eastAsia="zh-CN"/>
              </w:rPr>
            </w:pPr>
            <w:r>
              <w:t>T</w:t>
            </w:r>
            <w:r>
              <w:rPr>
                <w:vertAlign w:val="subscript"/>
              </w:rPr>
              <w:t>L1-RSRP_SSB</w:t>
            </w:r>
            <w:r>
              <w:rPr>
                <w:lang w:val="fr-FR"/>
              </w:rPr>
              <w:t xml:space="preserve"> as (M*P)*T</w:t>
            </w:r>
            <w:r>
              <w:rPr>
                <w:vertAlign w:val="subscript"/>
                <w:lang w:val="fr-FR"/>
              </w:rPr>
              <w:t>SSB</w:t>
            </w:r>
          </w:p>
          <w:p>
            <w:pPr>
              <w:pStyle w:val="28"/>
              <w:keepNext w:val="0"/>
              <w:keepLines w:val="0"/>
              <w:pageBreakBefore w:val="0"/>
              <w:widowControl w:val="0"/>
              <w:numPr>
                <w:ilvl w:val="0"/>
                <w:numId w:val="5"/>
              </w:numPr>
              <w:kinsoku/>
              <w:wordWrap/>
              <w:overflowPunct/>
              <w:topLinePunct w:val="0"/>
              <w:autoSpaceDE/>
              <w:autoSpaceDN/>
              <w:bidi w:val="0"/>
              <w:adjustRightInd/>
              <w:snapToGrid/>
              <w:ind w:left="936" w:leftChars="0" w:hanging="363" w:firstLineChars="0"/>
              <w:textAlignment w:val="auto"/>
              <w:rPr>
                <w:rFonts w:eastAsiaTheme="minorEastAsia"/>
                <w:bCs/>
                <w:lang w:eastAsia="zh-CN"/>
              </w:rPr>
            </w:pPr>
            <w:r>
              <w:rPr>
                <w:rFonts w:eastAsiaTheme="minorEastAsia"/>
                <w:bCs/>
                <w:lang w:eastAsia="zh-CN"/>
              </w:rPr>
              <w:t>Option 3: Define generic requirement</w:t>
            </w:r>
          </w:p>
          <w:p>
            <w:pPr>
              <w:pStyle w:val="28"/>
              <w:keepNext w:val="0"/>
              <w:keepLines w:val="0"/>
              <w:pageBreakBefore w:val="0"/>
              <w:widowControl w:val="0"/>
              <w:numPr>
                <w:ilvl w:val="0"/>
                <w:numId w:val="5"/>
              </w:numPr>
              <w:kinsoku/>
              <w:wordWrap/>
              <w:overflowPunct/>
              <w:topLinePunct w:val="0"/>
              <w:autoSpaceDE/>
              <w:autoSpaceDN/>
              <w:bidi w:val="0"/>
              <w:adjustRightInd/>
              <w:snapToGrid/>
              <w:ind w:left="936" w:leftChars="0" w:hanging="363" w:firstLineChars="0"/>
              <w:textAlignment w:val="auto"/>
              <w:rPr>
                <w:rFonts w:hint="default"/>
                <w:vertAlign w:val="baseline"/>
                <w:lang w:val="en-US" w:eastAsia="zh-CN"/>
              </w:rPr>
            </w:pPr>
            <w:r>
              <w:rPr>
                <w:rFonts w:eastAsiaTheme="minorEastAsia"/>
                <w:bCs/>
                <w:lang w:eastAsia="zh-CN"/>
              </w:rPr>
              <w:t>Option 4: Further clarification is needed</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The motivation of this issue is to identify whether some simplification of the requirement of MAC CE based UL TCI state switching delay are needed since UE can perform both RX beam refining and PL-RS measurement at the same SSB. The original approved requirement is as follows: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keepNext w:val="0"/>
              <w:keepLines w:val="0"/>
              <w:pageBreakBefore w:val="0"/>
              <w:widowControl w:val="0"/>
              <w:kinsoku/>
              <w:wordWrap/>
              <w:overflowPunct/>
              <w:topLinePunct w:val="0"/>
              <w:autoSpaceDE/>
              <w:autoSpaceDN/>
              <w:bidi w:val="0"/>
              <w:adjustRightInd/>
              <w:snapToGrid/>
              <w:textAlignment w:val="auto"/>
              <w:rPr>
                <w:rFonts w:hint="default" w:eastAsiaTheme="minorEastAsia"/>
                <w:b/>
                <w:u w:val="single"/>
                <w:lang w:val="en-US" w:eastAsia="zh-CN"/>
              </w:rPr>
            </w:pPr>
            <w:r>
              <w:rPr>
                <w:rFonts w:eastAsiaTheme="minorEastAsia"/>
                <w:b/>
                <w:u w:val="single"/>
                <w:lang w:eastAsia="zh-CN"/>
              </w:rPr>
              <w:t>MAC-CE based UL TCI state switching delay in separate UL/DL mode</w:t>
            </w:r>
            <w:r>
              <w:rPr>
                <w:rFonts w:hint="eastAsia" w:eastAsiaTheme="minorEastAsia"/>
                <w:b/>
                <w:u w:val="single"/>
                <w:lang w:val="en-US" w:eastAsia="zh-CN"/>
              </w:rPr>
              <w:t>(</w:t>
            </w:r>
            <w:r>
              <w:rPr>
                <w:rFonts w:hint="eastAsia" w:eastAsiaTheme="minorEastAsia"/>
                <w:b/>
                <w:highlight w:val="green"/>
                <w:u w:val="single"/>
                <w:lang w:val="en-US" w:eastAsia="zh-CN"/>
              </w:rPr>
              <w:t>approved in 101bis</w:t>
            </w:r>
            <w:r>
              <w:rPr>
                <w:rFonts w:hint="eastAsia" w:eastAsiaTheme="minorEastAsia"/>
                <w:b/>
                <w:u w:val="single"/>
                <w:lang w:val="en-US" w:eastAsia="zh-CN"/>
              </w:rPr>
              <w:t>)</w:t>
            </w:r>
          </w:p>
          <w:p>
            <w:pPr>
              <w:pStyle w:val="28"/>
              <w:keepNext w:val="0"/>
              <w:keepLines w:val="0"/>
              <w:pageBreakBefore w:val="0"/>
              <w:widowControl w:val="0"/>
              <w:numPr>
                <w:ilvl w:val="0"/>
                <w:numId w:val="5"/>
              </w:numPr>
              <w:kinsoku/>
              <w:wordWrap/>
              <w:overflowPunct/>
              <w:topLinePunct w:val="0"/>
              <w:autoSpaceDE/>
              <w:autoSpaceDN/>
              <w:bidi w:val="0"/>
              <w:adjustRightInd/>
              <w:snapToGrid/>
              <w:ind w:left="720" w:firstLineChars="0"/>
              <w:textAlignment w:val="auto"/>
              <w:rPr>
                <w:rFonts w:eastAsiaTheme="minorEastAsia"/>
                <w:lang w:eastAsia="zh-CN"/>
              </w:rPr>
            </w:pPr>
            <w:r>
              <w:rPr>
                <w:rFonts w:eastAsiaTheme="minorEastAsia"/>
                <w:lang w:eastAsia="zh-CN"/>
              </w:rPr>
              <w:t xml:space="preserve">Known TCI case: </w:t>
            </w:r>
          </w:p>
          <w:p>
            <w:pPr>
              <w:pStyle w:val="28"/>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w:t>
            </w:r>
            <w:r>
              <w:rPr>
                <w:rFonts w:eastAsia="Times New Roman"/>
                <w:bCs/>
                <w:szCs w:val="21"/>
                <w:highlight w:val="yellow"/>
              </w:rPr>
              <w:t>T</w:t>
            </w:r>
            <w:r>
              <w:rPr>
                <w:rFonts w:eastAsia="Times New Roman"/>
                <w:bCs/>
                <w:szCs w:val="21"/>
                <w:highlight w:val="yellow"/>
                <w:vertAlign w:val="subscript"/>
              </w:rPr>
              <w:t xml:space="preserve">first_target-PL-RS </w:t>
            </w:r>
            <w:r>
              <w:rPr>
                <w:rFonts w:eastAsia="Times New Roman"/>
                <w:bCs/>
                <w:szCs w:val="21"/>
                <w:highlight w:val="yellow"/>
              </w:rPr>
              <w:t>+ 4*T</w:t>
            </w:r>
            <w:r>
              <w:rPr>
                <w:rFonts w:eastAsia="Times New Roman"/>
                <w:bCs/>
                <w:szCs w:val="21"/>
                <w:highlight w:val="yellow"/>
                <w:vertAlign w:val="subscript"/>
              </w:rPr>
              <w:t>target_PL-RS</w:t>
            </w:r>
            <w:r>
              <w:rPr>
                <w:rFonts w:eastAsia="Times New Roman"/>
                <w:bCs/>
                <w:szCs w:val="21"/>
                <w:vertAlign w:val="subscript"/>
              </w:rPr>
              <w:t xml:space="preserve"> </w:t>
            </w:r>
            <w:r>
              <w:rPr>
                <w:rFonts w:eastAsia="Times New Roman"/>
                <w:bCs/>
                <w:szCs w:val="21"/>
              </w:rPr>
              <w:t>+ 2ms)</w:t>
            </w:r>
          </w:p>
          <w:p>
            <w:pPr>
              <w:pStyle w:val="28"/>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lang w:eastAsia="ja-JP"/>
              </w:rPr>
            </w:pPr>
            <w:r>
              <w:rPr>
                <w:lang w:eastAsia="ja-JP"/>
              </w:rPr>
              <w:t>NM is equal to 1 if PL-RS is not maintained, and equal to 0 otherwise</w:t>
            </w:r>
          </w:p>
          <w:p>
            <w:pPr>
              <w:pStyle w:val="28"/>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lang w:eastAsia="ja-JP"/>
              </w:rPr>
            </w:pPr>
            <w:r>
              <w:rPr>
                <w:lang w:eastAsia="ja-JP"/>
              </w:rPr>
              <w:t>FFS whether NM is allowed to be equal to 1 in Rel-17 specification</w:t>
            </w:r>
          </w:p>
          <w:p>
            <w:pPr>
              <w:pStyle w:val="28"/>
              <w:keepNext w:val="0"/>
              <w:keepLines w:val="0"/>
              <w:pageBreakBefore w:val="0"/>
              <w:widowControl w:val="0"/>
              <w:numPr>
                <w:ilvl w:val="0"/>
                <w:numId w:val="5"/>
              </w:numPr>
              <w:kinsoku/>
              <w:wordWrap/>
              <w:overflowPunct/>
              <w:topLinePunct w:val="0"/>
              <w:autoSpaceDE/>
              <w:autoSpaceDN/>
              <w:bidi w:val="0"/>
              <w:adjustRightInd/>
              <w:snapToGrid/>
              <w:ind w:left="720" w:firstLineChars="0"/>
              <w:textAlignment w:val="auto"/>
              <w:rPr>
                <w:rFonts w:eastAsiaTheme="minorEastAsia"/>
                <w:lang w:eastAsia="zh-CN"/>
              </w:rPr>
            </w:pPr>
            <w:r>
              <w:rPr>
                <w:rFonts w:eastAsiaTheme="minorEastAsia"/>
                <w:lang w:eastAsia="zh-CN"/>
              </w:rPr>
              <w:t xml:space="preserve">Unknown TCI case: </w:t>
            </w:r>
          </w:p>
          <w:p>
            <w:pPr>
              <w:pStyle w:val="28"/>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w:t>
            </w:r>
            <w:r>
              <w:rPr>
                <w:rFonts w:eastAsia="Times New Roman"/>
                <w:bCs/>
                <w:szCs w:val="21"/>
                <w:highlight w:val="yellow"/>
              </w:rPr>
              <w:t xml:space="preserve"> T</w:t>
            </w:r>
            <w:r>
              <w:rPr>
                <w:rFonts w:eastAsia="Times New Roman"/>
                <w:bCs/>
                <w:szCs w:val="21"/>
                <w:highlight w:val="yellow"/>
                <w:vertAlign w:val="subscript"/>
              </w:rPr>
              <w:t>L1-RSRP</w:t>
            </w:r>
            <w:r>
              <w:rPr>
                <w:rFonts w:eastAsia="Times New Roman"/>
                <w:bCs/>
                <w:szCs w:val="21"/>
                <w:vertAlign w:val="subscript"/>
              </w:rPr>
              <w:t xml:space="preserve"> </w:t>
            </w:r>
            <w:r>
              <w:rPr>
                <w:rFonts w:eastAsia="Times New Roman"/>
                <w:bCs/>
                <w:szCs w:val="21"/>
              </w:rPr>
              <w:t>+ (</w:t>
            </w:r>
            <w:r>
              <w:rPr>
                <w:rFonts w:eastAsia="Times New Roman"/>
                <w:bCs/>
                <w:szCs w:val="21"/>
                <w:highlight w:val="yellow"/>
              </w:rPr>
              <w:t>T</w:t>
            </w:r>
            <w:r>
              <w:rPr>
                <w:rFonts w:eastAsia="Times New Roman"/>
                <w:bCs/>
                <w:szCs w:val="21"/>
                <w:highlight w:val="yellow"/>
                <w:vertAlign w:val="subscript"/>
              </w:rPr>
              <w:t xml:space="preserve">first_target-PL-RS </w:t>
            </w:r>
            <w:r>
              <w:rPr>
                <w:rFonts w:eastAsia="Times New Roman"/>
                <w:bCs/>
                <w:szCs w:val="21"/>
                <w:highlight w:val="yellow"/>
              </w:rPr>
              <w:t>+ 4*T</w:t>
            </w:r>
            <w:r>
              <w:rPr>
                <w:rFonts w:eastAsia="Times New Roman"/>
                <w:bCs/>
                <w:szCs w:val="21"/>
                <w:highlight w:val="yellow"/>
                <w:vertAlign w:val="subscript"/>
              </w:rPr>
              <w:t>target_PL-RS</w:t>
            </w:r>
            <w:r>
              <w:rPr>
                <w:rFonts w:eastAsia="Times New Roman"/>
                <w:bCs/>
                <w:szCs w:val="21"/>
                <w:vertAlign w:val="subscript"/>
              </w:rPr>
              <w:t xml:space="preserve"> </w:t>
            </w:r>
            <w:r>
              <w:rPr>
                <w:rFonts w:eastAsia="Times New Roman"/>
                <w:bCs/>
                <w:szCs w:val="21"/>
              </w:rPr>
              <w:t>+ 2ms)</w:t>
            </w:r>
          </w:p>
          <w:p>
            <w:pPr>
              <w:pStyle w:val="28"/>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hint="default" w:eastAsia="宋体"/>
                <w:vertAlign w:val="baseline"/>
                <w:lang w:val="en-US" w:eastAsia="zh-CN"/>
              </w:rPr>
            </w:pPr>
            <w:r>
              <w:rPr>
                <w:rFonts w:eastAsia="Times New Roman"/>
                <w:bCs/>
                <w:szCs w:val="21"/>
              </w:rPr>
              <w:t>Requirements will be defined for beam alignment case</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In our opinion, we agree with the motivation of simplification, but for the specific formula, we need analysis the procedure with two operations including RX beam refining and PL-RS measurement. There are two alternatives:</w:t>
      </w:r>
    </w:p>
    <w:p>
      <w:pPr>
        <w:pStyle w:val="3"/>
        <w:keepNext w:val="0"/>
        <w:keepLines w:val="0"/>
        <w:pageBreakBefore w:val="0"/>
        <w:widowControl/>
        <w:numPr>
          <w:ilvl w:val="0"/>
          <w:numId w:val="8"/>
        </w:numPr>
        <w:kinsoku/>
        <w:wordWrap/>
        <w:overflowPunct/>
        <w:topLinePunct w:val="0"/>
        <w:autoSpaceDE/>
        <w:autoSpaceDN/>
        <w:bidi w:val="0"/>
        <w:adjustRightInd/>
        <w:snapToGrid/>
        <w:ind w:left="420" w:leftChars="0" w:hanging="420" w:firstLineChars="0"/>
        <w:textAlignment w:val="auto"/>
        <w:rPr>
          <w:rFonts w:hint="default"/>
          <w:lang w:val="en-US" w:eastAsia="zh-CN"/>
        </w:rPr>
      </w:pPr>
      <w:bookmarkStart w:id="5" w:name="OLE_LINK2"/>
      <w:r>
        <w:rPr>
          <w:rFonts w:hint="eastAsia"/>
          <w:lang w:val="en-US" w:eastAsia="zh-CN"/>
        </w:rPr>
        <w:t xml:space="preserve">Alternative </w:t>
      </w:r>
      <w:bookmarkEnd w:id="5"/>
      <w:r>
        <w:rPr>
          <w:rFonts w:hint="eastAsia"/>
          <w:lang w:val="en-US" w:eastAsia="zh-CN"/>
        </w:rPr>
        <w:t>1: UE performs RX beam refining firstly, then based on the best RX beam, perform 5 samples</w:t>
      </w:r>
      <w:r>
        <w:rPr>
          <w:rFonts w:hint="default"/>
          <w:lang w:val="en-US" w:eastAsia="zh-CN"/>
        </w:rPr>
        <w:t>’</w:t>
      </w:r>
      <w:r>
        <w:rPr>
          <w:rFonts w:hint="eastAsia"/>
          <w:lang w:val="en-US" w:eastAsia="zh-CN"/>
        </w:rPr>
        <w:t xml:space="preserve"> PL-RS measurement. </w:t>
      </w:r>
    </w:p>
    <w:p>
      <w:pPr>
        <w:pStyle w:val="3"/>
        <w:keepNext w:val="0"/>
        <w:keepLines w:val="0"/>
        <w:pageBreakBefore w:val="0"/>
        <w:widowControl/>
        <w:numPr>
          <w:ilvl w:val="0"/>
          <w:numId w:val="8"/>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lang w:val="en-US" w:eastAsia="zh-CN"/>
        </w:rPr>
        <w:t>Alternative 2: When UE performs 5 samples</w:t>
      </w:r>
      <w:r>
        <w:rPr>
          <w:rFonts w:hint="default"/>
          <w:lang w:val="en-US" w:eastAsia="zh-CN"/>
        </w:rPr>
        <w:t>’</w:t>
      </w:r>
      <w:r>
        <w:rPr>
          <w:rFonts w:hint="eastAsia"/>
          <w:lang w:val="en-US" w:eastAsia="zh-CN"/>
        </w:rPr>
        <w:t xml:space="preserve"> PL-RS measurement, for each sample, UE needs to poll each RX beam, so the RX beam refining was mixed into the PL-RS measurement, not need additional L1 measurement any more.</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 xml:space="preserve">In general, we believe the RX beam refining and PL-RS measurement should not be mixed together. And the known case and unknown case should be discussed independently. </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 xml:space="preserve">For RX beam refining, no matter whether PL-RS and source SSB is identical or not, UE should perform L1 measurement based on 8 RX beam sweeping and 1 or 3 samples for FR2. </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eastAsia="Times New Roman"/>
          <w:bCs/>
          <w:szCs w:val="21"/>
          <w:vertAlign w:val="subscript"/>
        </w:rPr>
      </w:pPr>
      <w:r>
        <w:rPr>
          <w:rFonts w:hint="eastAsia"/>
          <w:lang w:val="en-US" w:eastAsia="zh-CN"/>
        </w:rPr>
        <w:t>For PL-RS measurement, no matter for FR1 and FR2, 5 samples should be guaranteed based on the chosen RX beam. So we can not expand the PL-RS measurement from 5*</w:t>
      </w:r>
      <w:r>
        <w:rPr>
          <w:rFonts w:eastAsia="Times New Roman"/>
          <w:bCs/>
          <w:szCs w:val="21"/>
          <w:highlight w:val="none"/>
        </w:rPr>
        <w:t>T</w:t>
      </w:r>
      <w:r>
        <w:rPr>
          <w:rFonts w:eastAsia="Times New Roman"/>
          <w:bCs/>
          <w:szCs w:val="21"/>
          <w:highlight w:val="none"/>
          <w:vertAlign w:val="subscript"/>
        </w:rPr>
        <w:t>target_PL-RS</w:t>
      </w:r>
      <w:r>
        <w:rPr>
          <w:rFonts w:eastAsia="Times New Roman"/>
          <w:bCs/>
          <w:szCs w:val="21"/>
          <w:vertAlign w:val="subscript"/>
        </w:rPr>
        <w:t xml:space="preserve"> </w:t>
      </w:r>
      <w:r>
        <w:rPr>
          <w:rFonts w:hint="eastAsia"/>
          <w:lang w:val="en-US" w:eastAsia="zh-CN"/>
        </w:rPr>
        <w:t>into 5*N*</w:t>
      </w:r>
      <w:r>
        <w:rPr>
          <w:rFonts w:eastAsia="Times New Roman"/>
          <w:bCs/>
          <w:szCs w:val="21"/>
          <w:highlight w:val="none"/>
        </w:rPr>
        <w:t>T</w:t>
      </w:r>
      <w:r>
        <w:rPr>
          <w:rFonts w:eastAsia="Times New Roman"/>
          <w:bCs/>
          <w:szCs w:val="21"/>
          <w:highlight w:val="none"/>
          <w:vertAlign w:val="subscript"/>
        </w:rPr>
        <w:t>target_PL-RS</w:t>
      </w:r>
      <w:r>
        <w:rPr>
          <w:rFonts w:hint="eastAsia"/>
          <w:lang w:val="en-US" w:eastAsia="zh-CN"/>
        </w:rPr>
        <w:t>, here N means the scaling factor of RX beam sweeping.</w:t>
      </w:r>
      <w:r>
        <w:rPr>
          <w:rFonts w:eastAsia="Times New Roman"/>
          <w:bCs/>
          <w:szCs w:val="21"/>
          <w:vertAlign w:val="subscript"/>
        </w:rPr>
        <w:t xml:space="preserve"> </w:t>
      </w:r>
      <w:r>
        <w:rPr>
          <w:rFonts w:hint="eastAsia"/>
          <w:lang w:val="en-US" w:eastAsia="zh-CN"/>
        </w:rPr>
        <w:t>According to legacy PL-RS measurement requirement, no matter FR1 or FR2, not need to consider RX beam sweeping during PL-RS measurement. So before PL-RS measurement, the UE has  identified the chosen RX beam direction.</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For known case, the procedure of RX beam refining is not necessary, UE has known the suitable RX beam direction, so UE only needs to perform PL-RS measurement with 5 samples.</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lang w:val="en-US" w:eastAsia="zh-CN"/>
        </w:rPr>
      </w:pPr>
      <w:r>
        <w:rPr>
          <w:rFonts w:hint="eastAsia"/>
          <w:lang w:val="en-US" w:eastAsia="zh-CN"/>
        </w:rPr>
        <w:t>For unknown case, UE should firstly perform RX beam refining to identify the suitable RX beam direction, then based on such RX beam direction, UE can perform PL-RS measurement with 5 samples. So Alternative 1 is our preference.</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Based on the above analysis, we prefer to insist on the original agreements even when the SSB is indicated as PL-RS in UL TCI state.</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procedure of RX beam refining and PL-RS measurement should not be combined. UE should perform PL-RS measurement with an assumed RX beam.</w:t>
      </w:r>
    </w:p>
    <w:p>
      <w:pPr>
        <w:pStyle w:val="3"/>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We prefer to insist on the original agreements even when the SSB is indicated as PL-RS in UL TCI state. </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lang w:val="en-US" w:eastAsia="zh-CN"/>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TCI state-pair indication requirement</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For this issue, the following options were discussed during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overflowPunct/>
              <w:autoSpaceDE/>
              <w:autoSpaceDN/>
              <w:adjustRightInd/>
              <w:spacing w:after="120"/>
              <w:ind w:left="1236" w:leftChars="0" w:firstLineChars="0"/>
              <w:textAlignment w:val="auto"/>
              <w:rPr>
                <w:rFonts w:eastAsiaTheme="minorEastAsia"/>
                <w:lang w:val="sv-SE" w:eastAsia="zh-CN"/>
              </w:rPr>
            </w:pPr>
            <w:r>
              <w:rPr>
                <w:rFonts w:hint="eastAsia" w:eastAsiaTheme="minorEastAsia"/>
                <w:lang w:val="sv-SE" w:eastAsia="zh-CN"/>
              </w:rPr>
              <w:t>O</w:t>
            </w:r>
            <w:r>
              <w:rPr>
                <w:rFonts w:eastAsiaTheme="minorEastAsia"/>
                <w:lang w:val="sv-SE" w:eastAsia="zh-CN"/>
              </w:rPr>
              <w:t>ption 1:</w:t>
            </w:r>
          </w:p>
          <w:p>
            <w:pPr>
              <w:pStyle w:val="28"/>
              <w:numPr>
                <w:ilvl w:val="1"/>
                <w:numId w:val="5"/>
              </w:numPr>
              <w:overflowPunct/>
              <w:autoSpaceDE/>
              <w:autoSpaceDN/>
              <w:adjustRightInd/>
              <w:spacing w:after="120"/>
              <w:ind w:left="1956" w:leftChars="0" w:firstLineChars="0"/>
              <w:textAlignment w:val="auto"/>
              <w:rPr>
                <w:lang w:val="sv-SE" w:eastAsia="zh-CN"/>
              </w:rPr>
            </w:pPr>
            <w:r>
              <w:rPr>
                <w:lang w:val="sv-SE" w:eastAsia="zh-CN"/>
              </w:rPr>
              <w:t>The TCI state switching delay requirement can be defined for UL TCI and DL TCI switching independently.</w:t>
            </w:r>
          </w:p>
          <w:p>
            <w:pPr>
              <w:pStyle w:val="28"/>
              <w:numPr>
                <w:ilvl w:val="0"/>
                <w:numId w:val="5"/>
              </w:numPr>
              <w:overflowPunct/>
              <w:autoSpaceDE/>
              <w:autoSpaceDN/>
              <w:adjustRightInd/>
              <w:spacing w:after="120"/>
              <w:ind w:left="1236" w:leftChars="0" w:firstLineChars="0"/>
              <w:textAlignment w:val="auto"/>
              <w:rPr>
                <w:rFonts w:eastAsiaTheme="minorEastAsia"/>
                <w:lang w:val="sv-SE" w:eastAsia="zh-CN"/>
              </w:rPr>
            </w:pPr>
            <w:r>
              <w:rPr>
                <w:rFonts w:eastAsiaTheme="minorEastAsia"/>
                <w:lang w:val="sv-SE" w:eastAsia="zh-CN"/>
              </w:rPr>
              <w:t>Option 2:</w:t>
            </w:r>
          </w:p>
          <w:p>
            <w:pPr>
              <w:pStyle w:val="28"/>
              <w:numPr>
                <w:ilvl w:val="1"/>
                <w:numId w:val="5"/>
              </w:numPr>
              <w:overflowPunct/>
              <w:autoSpaceDE/>
              <w:autoSpaceDN/>
              <w:adjustRightInd/>
              <w:spacing w:after="120"/>
              <w:ind w:left="1956" w:leftChars="0" w:firstLineChars="0"/>
              <w:textAlignment w:val="auto"/>
              <w:rPr>
                <w:lang w:val="sv-SE" w:eastAsia="zh-CN"/>
              </w:rPr>
            </w:pPr>
            <w:r>
              <w:rPr>
                <w:lang w:val="sv-SE" w:eastAsia="zh-CN"/>
              </w:rPr>
              <w:t>Remove the issue here without conclusions since the intention is not clear.</w:t>
            </w:r>
          </w:p>
          <w:p>
            <w:pPr>
              <w:pStyle w:val="28"/>
              <w:numPr>
                <w:ilvl w:val="0"/>
                <w:numId w:val="5"/>
              </w:numPr>
              <w:overflowPunct/>
              <w:autoSpaceDE/>
              <w:autoSpaceDN/>
              <w:adjustRightInd/>
              <w:spacing w:after="120"/>
              <w:ind w:left="1236" w:leftChars="0" w:firstLineChars="0"/>
              <w:textAlignment w:val="auto"/>
              <w:rPr>
                <w:rFonts w:eastAsiaTheme="minorEastAsia"/>
                <w:lang w:val="sv-SE" w:eastAsia="zh-CN"/>
              </w:rPr>
            </w:pPr>
            <w:r>
              <w:rPr>
                <w:rFonts w:eastAsiaTheme="minorEastAsia"/>
                <w:lang w:val="sv-SE" w:eastAsia="zh-CN"/>
              </w:rPr>
              <w:t xml:space="preserve">Option 3: </w:t>
            </w:r>
          </w:p>
          <w:p>
            <w:pPr>
              <w:pStyle w:val="28"/>
              <w:numPr>
                <w:ilvl w:val="1"/>
                <w:numId w:val="5"/>
              </w:numPr>
              <w:overflowPunct/>
              <w:autoSpaceDE/>
              <w:autoSpaceDN/>
              <w:adjustRightInd/>
              <w:spacing w:after="120"/>
              <w:ind w:left="1956" w:leftChars="0" w:firstLineChars="0"/>
              <w:textAlignment w:val="auto"/>
              <w:rPr>
                <w:rFonts w:hint="default"/>
                <w:vertAlign w:val="baseline"/>
                <w:lang w:val="en-US" w:eastAsia="zh-CN"/>
              </w:rPr>
            </w:pPr>
            <w:r>
              <w:rPr>
                <w:rFonts w:ascii="Calibri" w:hAnsi="Calibri" w:eastAsia="宋体" w:cs="Times New Roman"/>
                <w:kern w:val="2"/>
                <w:sz w:val="21"/>
                <w:szCs w:val="22"/>
                <w:lang w:val="sv-SE" w:eastAsia="zh-CN" w:bidi="ar-SA"/>
              </w:rPr>
              <w:t>No requirements for TCI state-pair indication</w:t>
            </w:r>
          </w:p>
        </w:tc>
      </w:tr>
    </w:tbl>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lang w:val="en-US" w:eastAsia="zh-CN"/>
        </w:rPr>
      </w:pPr>
      <w:r>
        <w:rPr>
          <w:rFonts w:hint="eastAsia"/>
          <w:lang w:val="en-US" w:eastAsia="zh-CN"/>
        </w:rPr>
        <w:t>For the TCI state-pair indication, network will indicate a TCI state codepoint represents a pair of DL TCI state and UL TCI state, and the source RSs for the 2 TCI state can be different. Such indication also belongs to separate mode. So it is natural to use the DL and UL TCI state switching delay requirements respectively even for TCI state pair indication. Correspondingly the DL and UL TCI state can be switched independently. So we prefer Option 1.</w:t>
      </w:r>
    </w:p>
    <w:p>
      <w:pPr>
        <w:pStyle w:val="3"/>
        <w:rPr>
          <w:rFonts w:hint="eastAsia"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TCI state-pair indication belongs to separate mode, so we prefer to use the DL and UL TCI state switching delay requirements respectively for TCI state pair indication, and correspondingly the DL and UL TCI state can be switched independently.</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Delay requirements for TCI switching in CA case</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bookmarkStart w:id="6" w:name="OLE_LINK8"/>
      <w:r>
        <w:rPr>
          <w:rFonts w:hint="eastAsia" w:ascii="Times New Roman" w:hAnsi="Times New Roman" w:cs="Times New Roman"/>
          <w:b/>
          <w:bCs/>
          <w:color w:val="auto"/>
          <w:sz w:val="20"/>
          <w:szCs w:val="20"/>
          <w:u w:val="single"/>
          <w:lang w:val="en-US" w:eastAsia="zh-CN" w:bidi="ar-SA"/>
        </w:rPr>
        <w:t>Known condition in CA scenario</w:t>
      </w:r>
    </w:p>
    <w:bookmarkEnd w:id="6"/>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this issue, after discussion in 102 meeting, not agreements achieved. During the discussion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5"/>
              </w:numPr>
              <w:kinsoku/>
              <w:wordWrap/>
              <w:overflowPunct/>
              <w:topLinePunct w:val="0"/>
              <w:autoSpaceDE/>
              <w:autoSpaceDN/>
              <w:bidi w:val="0"/>
              <w:adjustRightInd/>
              <w:snapToGrid/>
              <w:spacing w:line="260" w:lineRule="auto"/>
              <w:ind w:left="1020" w:leftChars="0" w:hanging="363" w:firstLineChars="0"/>
              <w:textAlignment w:val="auto"/>
              <w:rPr>
                <w:lang w:val="sv-SE" w:eastAsia="zh-CN"/>
              </w:rPr>
            </w:pPr>
            <w:r>
              <w:rPr>
                <w:lang w:val="sv-SE" w:eastAsia="zh-CN"/>
              </w:rPr>
              <w:t>Option 1:</w:t>
            </w:r>
          </w:p>
          <w:p>
            <w:pPr>
              <w:pStyle w:val="28"/>
              <w:keepNext w:val="0"/>
              <w:keepLines w:val="0"/>
              <w:pageBreakBefore w:val="0"/>
              <w:widowControl w:val="0"/>
              <w:numPr>
                <w:ilvl w:val="1"/>
                <w:numId w:val="5"/>
              </w:numPr>
              <w:kinsoku/>
              <w:wordWrap/>
              <w:overflowPunct/>
              <w:topLinePunct w:val="0"/>
              <w:autoSpaceDE/>
              <w:autoSpaceDN/>
              <w:bidi w:val="0"/>
              <w:adjustRightInd/>
              <w:snapToGrid/>
              <w:spacing w:line="260" w:lineRule="auto"/>
              <w:ind w:left="1956" w:leftChars="0" w:hanging="363" w:firstLineChars="0"/>
              <w:textAlignment w:val="auto"/>
              <w:rPr>
                <w:lang w:val="sv-SE" w:eastAsia="zh-CN"/>
              </w:rPr>
            </w:pPr>
            <w:r>
              <w:rPr>
                <w:lang w:val="sv-SE" w:eastAsia="zh-CN"/>
              </w:rPr>
              <w:t xml:space="preserve">Reuse the existing known condition. </w:t>
            </w:r>
            <w:r>
              <w:rPr>
                <w:rFonts w:hint="eastAsia"/>
                <w:lang w:val="sv-SE" w:eastAsia="zh-CN"/>
              </w:rPr>
              <w:t>Once the source RS of target TCI state is known for each CC in the intra-band CC group, which means the known condition is satisfied.</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60" w:lineRule="auto"/>
              <w:ind w:left="1020" w:leftChars="0" w:hanging="363" w:firstLineChars="0"/>
              <w:textAlignment w:val="auto"/>
              <w:rPr>
                <w:lang w:val="sv-SE" w:eastAsia="zh-CN"/>
              </w:rPr>
            </w:pPr>
            <w:r>
              <w:rPr>
                <w:lang w:val="sv-SE" w:eastAsia="zh-CN"/>
              </w:rPr>
              <w:t>Option 2:</w:t>
            </w:r>
          </w:p>
          <w:p>
            <w:pPr>
              <w:pStyle w:val="28"/>
              <w:keepNext w:val="0"/>
              <w:keepLines w:val="0"/>
              <w:pageBreakBefore w:val="0"/>
              <w:widowControl w:val="0"/>
              <w:numPr>
                <w:ilvl w:val="1"/>
                <w:numId w:val="5"/>
              </w:numPr>
              <w:kinsoku/>
              <w:wordWrap/>
              <w:overflowPunct/>
              <w:topLinePunct w:val="0"/>
              <w:autoSpaceDE/>
              <w:autoSpaceDN/>
              <w:bidi w:val="0"/>
              <w:adjustRightInd/>
              <w:snapToGrid/>
              <w:spacing w:line="260" w:lineRule="auto"/>
              <w:ind w:left="1956" w:leftChars="0" w:hanging="363" w:firstLineChars="0"/>
              <w:textAlignment w:val="auto"/>
              <w:rPr>
                <w:lang w:val="sv-SE" w:eastAsia="zh-CN"/>
              </w:rPr>
            </w:pPr>
            <w:r>
              <w:rPr>
                <w:lang w:val="sv-SE" w:eastAsia="zh-CN"/>
              </w:rPr>
              <w:t xml:space="preserve">If the associated RS in common TCI state provides QCL-TypeD, the known condition can only consider whether the associated RS in the reference CC is known or not. </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60" w:lineRule="auto"/>
              <w:ind w:left="1020" w:leftChars="0" w:hanging="363" w:firstLineChars="0"/>
              <w:textAlignment w:val="auto"/>
              <w:rPr>
                <w:lang w:val="sv-SE" w:eastAsia="zh-CN"/>
              </w:rPr>
            </w:pPr>
            <w:r>
              <w:rPr>
                <w:lang w:val="sv-SE" w:eastAsia="zh-CN"/>
              </w:rPr>
              <w:t>Option 3:</w:t>
            </w:r>
          </w:p>
          <w:p>
            <w:pPr>
              <w:pStyle w:val="28"/>
              <w:keepNext w:val="0"/>
              <w:keepLines w:val="0"/>
              <w:pageBreakBefore w:val="0"/>
              <w:widowControl w:val="0"/>
              <w:numPr>
                <w:ilvl w:val="1"/>
                <w:numId w:val="5"/>
              </w:numPr>
              <w:kinsoku/>
              <w:wordWrap/>
              <w:overflowPunct/>
              <w:topLinePunct w:val="0"/>
              <w:autoSpaceDE/>
              <w:autoSpaceDN/>
              <w:bidi w:val="0"/>
              <w:adjustRightInd/>
              <w:snapToGrid/>
              <w:spacing w:line="260" w:lineRule="auto"/>
              <w:ind w:left="1956" w:leftChars="0" w:hanging="363" w:firstLineChars="0"/>
              <w:textAlignment w:val="auto"/>
              <w:rPr>
                <w:rFonts w:hint="default"/>
                <w:vertAlign w:val="baseline"/>
                <w:lang w:val="en-US" w:eastAsia="zh-CN"/>
              </w:rPr>
            </w:pPr>
            <w:r>
              <w:rPr>
                <w:bCs/>
                <w:lang w:eastAsia="ja-JP"/>
              </w:rPr>
              <w:t>The known condition should be dependent on shared RS or different RS.</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We believe based on the understanding for RAN1 agreements in R17, for the TCI state pool used for CA, two cases are possible:</w:t>
      </w:r>
    </w:p>
    <w:p>
      <w:pPr>
        <w:pStyle w:val="3"/>
        <w:keepNext w:val="0"/>
        <w:keepLines w:val="0"/>
        <w:pageBreakBefore w:val="0"/>
        <w:widowControl/>
        <w:numPr>
          <w:ilvl w:val="0"/>
          <w:numId w:val="9"/>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default"/>
          <w:lang w:val="en-US" w:eastAsia="zh-CN"/>
        </w:rPr>
        <w:t>Case 1: RRC-configured TCI state pool(s) can be configured in the PDSCH configuration (PDSCH-Config) for each BWP/CC as in Rel-15/16</w:t>
      </w:r>
      <w:r>
        <w:rPr>
          <w:rFonts w:hint="eastAsia"/>
          <w:lang w:val="en-US" w:eastAsia="zh-CN"/>
        </w:rPr>
        <w:t>.</w:t>
      </w:r>
      <w:r>
        <w:rPr>
          <w:rFonts w:hint="default"/>
          <w:lang w:val="en-US" w:eastAsia="zh-CN"/>
        </w:rPr>
        <w:t xml:space="preserve"> </w:t>
      </w:r>
    </w:p>
    <w:p>
      <w:pPr>
        <w:pStyle w:val="3"/>
        <w:keepNext w:val="0"/>
        <w:keepLines w:val="0"/>
        <w:pageBreakBefore w:val="0"/>
        <w:widowControl/>
        <w:numPr>
          <w:ilvl w:val="0"/>
          <w:numId w:val="9"/>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default"/>
          <w:lang w:val="en-US" w:eastAsia="zh-CN"/>
        </w:rPr>
        <w:t>Case 2: RRC-configured TCI state pool(s) can be absent in the PDSCH configuration (PDSCH-Config) for each BWP/CC, and replaced with</w:t>
      </w:r>
      <w:r>
        <w:rPr>
          <w:rFonts w:hint="eastAsia"/>
          <w:lang w:val="en-US" w:eastAsia="zh-CN"/>
        </w:rPr>
        <w:t xml:space="preserve"> a reference</w:t>
      </w:r>
      <w:r>
        <w:rPr>
          <w:rFonts w:hint="default"/>
          <w:lang w:val="en-US" w:eastAsia="zh-CN"/>
        </w:rPr>
        <w:t xml:space="preserve"> </w:t>
      </w:r>
      <w:r>
        <w:rPr>
          <w:rFonts w:hint="eastAsia"/>
          <w:lang w:val="en-US" w:eastAsia="zh-CN"/>
        </w:rPr>
        <w:t xml:space="preserve">to </w:t>
      </w:r>
      <w:r>
        <w:rPr>
          <w:rFonts w:hint="default"/>
          <w:lang w:val="en-US" w:eastAsia="zh-CN"/>
        </w:rPr>
        <w:t xml:space="preserve">RRC-configured TCI state pool(s) in a reference BWP/CC as a new way in Rel-17. </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default"/>
          <w:lang w:val="en-US" w:eastAsia="zh-CN"/>
        </w:rPr>
        <w:t>Case 1 means different TCI state/RS for each component CC, Case 2 means same/shared TCI state/RS for all CCs.</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So </w:t>
      </w:r>
      <w:r>
        <w:rPr>
          <w:rFonts w:hint="default"/>
          <w:lang w:val="en-US" w:eastAsia="zh-CN"/>
        </w:rPr>
        <w:t xml:space="preserve">Option 1 is Case 1 oriented, while Option 2 is Case 2 oriented. </w:t>
      </w:r>
      <w:r>
        <w:rPr>
          <w:rFonts w:hint="eastAsia"/>
          <w:lang w:val="en-US" w:eastAsia="zh-CN"/>
        </w:rPr>
        <w:t xml:space="preserve">Further more, no matter Case 1 or Case 2, the definition of known condition is always necessary. </w:t>
      </w:r>
      <w:r>
        <w:rPr>
          <w:rFonts w:hint="default"/>
          <w:lang w:val="en-US" w:eastAsia="zh-CN"/>
        </w:rPr>
        <w:t xml:space="preserve">So we believe </w:t>
      </w:r>
      <w:r>
        <w:rPr>
          <w:rFonts w:hint="eastAsia"/>
          <w:lang w:val="en-US" w:eastAsia="zh-CN"/>
        </w:rPr>
        <w:t xml:space="preserve">all </w:t>
      </w:r>
      <w:r>
        <w:rPr>
          <w:rFonts w:hint="default"/>
          <w:lang w:val="en-US" w:eastAsia="zh-CN"/>
        </w:rPr>
        <w:t>the three options make sense.</w:t>
      </w:r>
      <w:r>
        <w:rPr>
          <w:rFonts w:hint="eastAsia"/>
          <w:lang w:val="en-US" w:eastAsia="zh-CN"/>
        </w:rPr>
        <w:t xml:space="preserve"> Therefore, we have the following suggestions:</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The known condition should be dependent on shared RS or different RS.</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For the case of different RS, i.e. each BWP/CC configured with respective TCI state pool, reusing the existing known condition. Once the source RS of target TCI state is known for each CC in the intra-band CC group, which means the known condition is satisfied.</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 For the case of shared RS, i.e. a reference BWP/CC configured with a reference TCI state pool, If the associated RS in common TCI state provides QCL-TypeD, the known condition can only consider whether the associated RS in the reference CC is known or not.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known condition in CA scenario, we have the following suggestions:</w:t>
      </w:r>
    </w:p>
    <w:p>
      <w:pPr>
        <w:pStyle w:val="3"/>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The known condition should be dependent on shared RS or different RS.</w:t>
      </w:r>
    </w:p>
    <w:p>
      <w:pPr>
        <w:pStyle w:val="3"/>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For the case of different RS, i.e. each BWP/CC configured with respective TCI state pool, reusing the existing known condition. Once the source RS of target TCI state is known for each CC in the intra-band CC group, which means the known condition is satisfied.</w:t>
      </w:r>
    </w:p>
    <w:p>
      <w:pPr>
        <w:pStyle w:val="3"/>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 For the case of shared RS, i.e. a reference BWP/CC configured with a reference TCI state pool, If the associated RS in common TCI state provides QCL-TypeD, the known condition can only consider whether the associated RS in the reference CC is known or not. </w:t>
      </w:r>
    </w:p>
    <w:p>
      <w:pPr>
        <w:pStyle w:val="4"/>
        <w:bidi w:val="0"/>
        <w:rPr>
          <w:rFonts w:hint="default" w:eastAsia="宋体" w:cs="Times New Roman"/>
          <w:b/>
          <w:bCs/>
          <w:color w:val="auto"/>
          <w:sz w:val="21"/>
          <w:szCs w:val="21"/>
          <w:highlight w:val="none"/>
          <w:lang w:val="en-US" w:eastAsia="zh-CN" w:bidi="ar-SA"/>
        </w:rPr>
      </w:pPr>
      <w:r>
        <w:rPr>
          <w:rFonts w:hint="eastAsia"/>
          <w:color w:val="auto"/>
          <w:sz w:val="28"/>
          <w:szCs w:val="28"/>
          <w:highlight w:val="none"/>
          <w:lang w:val="en-US" w:eastAsia="zh-CN"/>
        </w:rPr>
        <w:t>2.3 Requirements for PL-RS switching delay indicated by unified TCI</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Whether to define MAC CE based PL-RS switching requirement when PL-RS is unknown</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This issue relates with other three issues: 1) The definition of beam alignment; 2) MAC CE based UL TCI state switching delay when SSB is indicated as PL-RS in UL TCI state for FR2; 3) Whether MAC CE based UL TCI state switch and RL-RS switch can be indicated in different MAC CE.</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1) the definition of beam alignment, it has been approved during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0"/>
              </w:numPr>
              <w:overflowPunct/>
              <w:autoSpaceDE/>
              <w:autoSpaceDN/>
              <w:adjustRightInd/>
              <w:spacing w:after="120" w:line="240" w:lineRule="auto"/>
              <w:textAlignment w:val="auto"/>
              <w:rPr>
                <w:rFonts w:hint="default"/>
                <w:vertAlign w:val="baseline"/>
                <w:lang w:val="en-US" w:eastAsia="zh-CN"/>
              </w:rPr>
            </w:pPr>
            <w:r>
              <w:rPr>
                <w:rFonts w:eastAsiaTheme="minorEastAsia"/>
                <w:b/>
                <w:u w:val="single"/>
                <w:lang w:eastAsia="zh-CN"/>
              </w:rPr>
              <w:t>Beam alignment assumption if PL-RS is included in UL TCI or joint TCI</w:t>
            </w:r>
            <w:r>
              <w:rPr>
                <w:rFonts w:hint="eastAsia" w:eastAsiaTheme="minorEastAsia"/>
                <w:b/>
                <w:u w:val="single"/>
                <w:lang w:val="en-US" w:eastAsia="zh-CN"/>
              </w:rPr>
              <w:t>:</w:t>
            </w:r>
          </w:p>
          <w:p>
            <w:pPr>
              <w:pStyle w:val="28"/>
              <w:numPr>
                <w:ilvl w:val="0"/>
                <w:numId w:val="5"/>
              </w:numPr>
              <w:overflowPunct/>
              <w:autoSpaceDE/>
              <w:autoSpaceDN/>
              <w:adjustRightInd/>
              <w:spacing w:after="120" w:line="240" w:lineRule="auto"/>
              <w:ind w:left="720" w:firstLineChars="0"/>
              <w:textAlignment w:val="auto"/>
              <w:rPr>
                <w:rFonts w:hint="default"/>
                <w:vertAlign w:val="baseline"/>
                <w:lang w:val="en-US" w:eastAsia="zh-CN"/>
              </w:rPr>
            </w:pPr>
            <w:r>
              <w:rPr>
                <w:i/>
                <w:iCs/>
                <w:highlight w:val="none"/>
                <w:lang w:val="sv-SE" w:eastAsia="zh-CN"/>
              </w:rPr>
              <w:t>PL-RS is identical to the source RS in UL or joint TCI</w:t>
            </w:r>
            <w:r>
              <w:rPr>
                <w:i/>
                <w:iCs/>
                <w:lang w:val="sv-SE" w:eastAsia="zh-CN"/>
              </w:rPr>
              <w:t>.</w:t>
            </w:r>
          </w:p>
          <w:p>
            <w:pPr>
              <w:numPr>
                <w:ilvl w:val="0"/>
                <w:numId w:val="0"/>
              </w:numPr>
              <w:spacing w:after="120"/>
              <w:rPr>
                <w:rFonts w:hint="eastAsia" w:eastAsiaTheme="minorEastAsia"/>
                <w:b/>
                <w:u w:val="single"/>
                <w:lang w:val="en-US" w:eastAsia="zh-CN"/>
              </w:rPr>
            </w:pPr>
            <w:r>
              <w:rPr>
                <w:rFonts w:eastAsiaTheme="minorEastAsia"/>
                <w:b/>
                <w:u w:val="single"/>
                <w:lang w:eastAsia="zh-CN"/>
              </w:rPr>
              <w:t>Beam alignment assumption if PL-RS is associated with UL TCI or joint TCI</w:t>
            </w:r>
            <w:r>
              <w:rPr>
                <w:rFonts w:hint="eastAsia" w:eastAsiaTheme="minorEastAsia"/>
                <w:b/>
                <w:u w:val="single"/>
                <w:lang w:val="en-US" w:eastAsia="zh-CN"/>
              </w:rPr>
              <w:t>:</w:t>
            </w:r>
          </w:p>
          <w:p>
            <w:pPr>
              <w:pStyle w:val="28"/>
              <w:numPr>
                <w:ilvl w:val="0"/>
                <w:numId w:val="5"/>
              </w:numPr>
              <w:overflowPunct/>
              <w:autoSpaceDE/>
              <w:autoSpaceDN/>
              <w:adjustRightInd/>
              <w:spacing w:after="120" w:line="240" w:lineRule="auto"/>
              <w:ind w:left="720" w:firstLineChars="0"/>
              <w:textAlignment w:val="auto"/>
              <w:rPr>
                <w:rFonts w:hint="default"/>
                <w:vertAlign w:val="baseline"/>
                <w:lang w:val="en-US" w:eastAsia="zh-CN"/>
              </w:rPr>
            </w:pPr>
            <w:r>
              <w:rPr>
                <w:i/>
                <w:iCs/>
                <w:highlight w:val="none"/>
                <w:lang w:val="sv-SE" w:eastAsia="zh-CN"/>
              </w:rPr>
              <w:t>PL-RS and source RS in UL or joint TCI are QCL-Type D</w:t>
            </w:r>
            <w:r>
              <w:rPr>
                <w:rFonts w:hint="eastAsia"/>
                <w:i/>
                <w:iCs/>
                <w:highlight w:val="none"/>
                <w:lang w:val="en-US" w:eastAsia="zh-CN"/>
              </w:rPr>
              <w:t>.</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So both </w:t>
      </w:r>
      <w:r>
        <w:rPr>
          <w:rFonts w:hint="default"/>
          <w:lang w:val="en-US" w:eastAsia="zh-CN"/>
        </w:rPr>
        <w:t>“</w:t>
      </w:r>
      <w:r>
        <w:rPr>
          <w:rFonts w:hint="eastAsia"/>
          <w:lang w:val="en-US" w:eastAsia="zh-CN"/>
        </w:rPr>
        <w:t>identical</w:t>
      </w:r>
      <w:r>
        <w:rPr>
          <w:rFonts w:hint="default"/>
          <w:lang w:val="en-US" w:eastAsia="zh-CN"/>
        </w:rPr>
        <w:t>”</w:t>
      </w:r>
      <w:r>
        <w:rPr>
          <w:rFonts w:hint="eastAsia"/>
          <w:lang w:val="en-US" w:eastAsia="zh-CN"/>
        </w:rPr>
        <w:t xml:space="preserve"> case and </w:t>
      </w:r>
      <w:r>
        <w:rPr>
          <w:rFonts w:hint="default"/>
          <w:lang w:val="en-US" w:eastAsia="zh-CN"/>
        </w:rPr>
        <w:t>“</w:t>
      </w:r>
      <w:r>
        <w:rPr>
          <w:rFonts w:hint="eastAsia"/>
          <w:lang w:val="en-US" w:eastAsia="zh-CN"/>
        </w:rPr>
        <w:t>QCL-Type D</w:t>
      </w:r>
      <w:r>
        <w:rPr>
          <w:rFonts w:hint="default"/>
          <w:lang w:val="en-US" w:eastAsia="zh-CN"/>
        </w:rPr>
        <w:t>”</w:t>
      </w:r>
      <w:r>
        <w:rPr>
          <w:rFonts w:hint="eastAsia"/>
          <w:lang w:val="en-US" w:eastAsia="zh-CN"/>
        </w:rPr>
        <w:t xml:space="preserve"> case are satisfied with the condition of beam alignment.</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For 2) MAC-CE based UL TCI state switching delay when SSB is indicated as PL-RS in UL TCI state for FR2, based on our analysis in section 2.1, we prefer to insist on the MAC CE based UL TCI state switching delay. </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For 3) Whether MAC CE based UL TCI state switch and RL-RS switch can be indicated in different MAC CE, further check RAN2 progress, for R17 unified TCI, the case that UL TCI state and PL-RS be activated by different MAC-CE is not supported(which was supported in legacy R16), only simultaneous activation was supported. So no need to define MAC CE based PL-RS switching requirement, which is same as MAC CE based UL TCI state switching requirement.</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 xml:space="preserve">Since not only </w:t>
      </w:r>
      <w:r>
        <w:rPr>
          <w:rFonts w:hint="default"/>
          <w:lang w:val="en-US" w:eastAsia="zh-CN"/>
        </w:rPr>
        <w:t>“</w:t>
      </w:r>
      <w:r>
        <w:rPr>
          <w:rFonts w:hint="eastAsia"/>
          <w:lang w:val="en-US" w:eastAsia="zh-CN"/>
        </w:rPr>
        <w:t>identical</w:t>
      </w:r>
      <w:r>
        <w:rPr>
          <w:rFonts w:hint="default"/>
          <w:lang w:val="en-US" w:eastAsia="zh-CN"/>
        </w:rPr>
        <w:t>”</w:t>
      </w:r>
      <w:r>
        <w:rPr>
          <w:rFonts w:hint="eastAsia"/>
          <w:lang w:val="en-US" w:eastAsia="zh-CN"/>
        </w:rPr>
        <w:t xml:space="preserve"> case but also </w:t>
      </w:r>
      <w:r>
        <w:rPr>
          <w:rFonts w:hint="default"/>
          <w:lang w:val="en-US" w:eastAsia="zh-CN"/>
        </w:rPr>
        <w:t>“</w:t>
      </w:r>
      <w:r>
        <w:rPr>
          <w:rFonts w:hint="eastAsia"/>
          <w:lang w:val="en-US" w:eastAsia="zh-CN"/>
        </w:rPr>
        <w:t>QCL-Type D</w:t>
      </w:r>
      <w:r>
        <w:rPr>
          <w:rFonts w:hint="default"/>
          <w:lang w:val="en-US" w:eastAsia="zh-CN"/>
        </w:rPr>
        <w:t>”</w:t>
      </w:r>
      <w:r>
        <w:rPr>
          <w:rFonts w:hint="eastAsia"/>
          <w:lang w:val="en-US" w:eastAsia="zh-CN"/>
        </w:rPr>
        <w:t xml:space="preserve"> case both belong to beam alignment, if PL-RS is unknown, re-using the requirement of 2) is fine. So our preference is the following Option 1. The following three Options were proposed during 102 meeting.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overflowPunct/>
              <w:autoSpaceDE/>
              <w:autoSpaceDN/>
              <w:adjustRightInd/>
              <w:spacing w:after="120" w:line="259" w:lineRule="auto"/>
              <w:ind w:left="1236" w:leftChars="0" w:firstLineChars="0"/>
              <w:textAlignment w:val="auto"/>
              <w:rPr>
                <w:rFonts w:eastAsiaTheme="minorEastAsia"/>
                <w:lang w:val="sv-SE" w:eastAsia="zh-CN"/>
              </w:rPr>
            </w:pPr>
            <w:r>
              <w:rPr>
                <w:rFonts w:eastAsiaTheme="minorEastAsia"/>
                <w:lang w:val="sv-SE" w:eastAsia="zh-CN"/>
              </w:rPr>
              <w:t xml:space="preserve">Option 1: </w:t>
            </w:r>
          </w:p>
          <w:p>
            <w:pPr>
              <w:pStyle w:val="28"/>
              <w:numPr>
                <w:ilvl w:val="1"/>
                <w:numId w:val="7"/>
              </w:numPr>
              <w:overflowPunct/>
              <w:autoSpaceDE/>
              <w:autoSpaceDN/>
              <w:adjustRightInd/>
              <w:spacing w:after="120" w:line="259" w:lineRule="auto"/>
              <w:ind w:left="1656" w:leftChars="0" w:hanging="360" w:firstLineChars="0"/>
              <w:textAlignment w:val="auto"/>
            </w:pPr>
            <w:r>
              <w:t>Re-use MAC CE based UL TCI state switch delay of unknown case.</w:t>
            </w:r>
          </w:p>
          <w:p>
            <w:pPr>
              <w:pStyle w:val="28"/>
              <w:numPr>
                <w:ilvl w:val="0"/>
                <w:numId w:val="5"/>
              </w:numPr>
              <w:overflowPunct/>
              <w:autoSpaceDE/>
              <w:autoSpaceDN/>
              <w:adjustRightInd/>
              <w:spacing w:after="120" w:line="259" w:lineRule="auto"/>
              <w:ind w:left="1236" w:leftChars="0" w:firstLineChars="0"/>
              <w:textAlignment w:val="auto"/>
            </w:pPr>
            <w:r>
              <w:rPr>
                <w:rFonts w:eastAsiaTheme="minorEastAsia"/>
                <w:bCs/>
                <w:lang w:eastAsia="zh-CN"/>
              </w:rPr>
              <w:t xml:space="preserve">Option 2: </w:t>
            </w:r>
          </w:p>
          <w:p>
            <w:pPr>
              <w:pStyle w:val="28"/>
              <w:numPr>
                <w:ilvl w:val="1"/>
                <w:numId w:val="5"/>
              </w:numPr>
              <w:overflowPunct/>
              <w:autoSpaceDE/>
              <w:autoSpaceDN/>
              <w:adjustRightInd/>
              <w:spacing w:after="120" w:line="259" w:lineRule="auto"/>
              <w:ind w:left="1956" w:leftChars="0" w:firstLineChars="0"/>
              <w:textAlignment w:val="auto"/>
            </w:pPr>
            <w:r>
              <w:t xml:space="preserve">Not to define PL-RS switching delay requirement when PL-RS is identical to the source RS in UL/Joint-TCI </w:t>
            </w:r>
            <w:r>
              <w:rPr>
                <w:b/>
                <w:bCs/>
              </w:rPr>
              <w:t>AND</w:t>
            </w:r>
            <w:r>
              <w:t xml:space="preserve"> when the target PL-RS is unknown.</w:t>
            </w:r>
          </w:p>
          <w:p>
            <w:pPr>
              <w:pStyle w:val="28"/>
              <w:numPr>
                <w:ilvl w:val="1"/>
                <w:numId w:val="5"/>
              </w:numPr>
              <w:overflowPunct/>
              <w:autoSpaceDE/>
              <w:autoSpaceDN/>
              <w:adjustRightInd/>
              <w:spacing w:after="120" w:line="259" w:lineRule="auto"/>
              <w:ind w:left="1956" w:leftChars="0" w:firstLineChars="0"/>
              <w:textAlignment w:val="auto"/>
              <w:rPr>
                <w:rFonts w:eastAsiaTheme="minorEastAsia"/>
                <w:u w:val="single"/>
                <w:lang w:eastAsia="ko-KR"/>
              </w:rPr>
            </w:pPr>
            <w:r>
              <w:t xml:space="preserve">Apply MAC-CE based UL TCI switching delay requirement of </w:t>
            </w:r>
            <w:r>
              <w:rPr>
                <w:b/>
                <w:bCs/>
              </w:rPr>
              <w:t>known</w:t>
            </w:r>
            <w:r>
              <w:t xml:space="preserve"> UL target TCI state,  when target PL-RS and source RS in UL/joint TCI are QCL-Type-D </w:t>
            </w:r>
            <w:r>
              <w:rPr>
                <w:b/>
                <w:bCs/>
              </w:rPr>
              <w:t>AND</w:t>
            </w:r>
            <w:r>
              <w:t xml:space="preserve"> </w:t>
            </w:r>
            <w:r>
              <w:rPr>
                <w:rFonts w:hint="eastAsia" w:eastAsiaTheme="minorEastAsia"/>
                <w:u w:val="single"/>
                <w:lang w:eastAsia="ko-KR"/>
              </w:rPr>
              <w:t xml:space="preserve"> </w:t>
            </w:r>
          </w:p>
          <w:p>
            <w:pPr>
              <w:pStyle w:val="28"/>
              <w:numPr>
                <w:ilvl w:val="0"/>
                <w:numId w:val="10"/>
              </w:numPr>
              <w:overflowPunct/>
              <w:autoSpaceDE/>
              <w:autoSpaceDN/>
              <w:adjustRightInd/>
              <w:spacing w:after="120" w:line="259" w:lineRule="auto"/>
              <w:ind w:firstLineChars="0"/>
              <w:textAlignment w:val="auto"/>
            </w:pPr>
            <w:r>
              <w:t>when the UL target TCI state is known but</w:t>
            </w:r>
            <w:r>
              <w:rPr>
                <w:rFonts w:hint="eastAsia" w:eastAsiaTheme="minorEastAsia"/>
                <w:lang w:eastAsia="ko-KR"/>
              </w:rPr>
              <w:t xml:space="preserve"> </w:t>
            </w:r>
            <w:r>
              <w:t xml:space="preserve">when the target pathloss reference signal is unknown  </w:t>
            </w:r>
            <w:r>
              <w:rPr>
                <w:b/>
                <w:bCs/>
              </w:rPr>
              <w:t>OR</w:t>
            </w:r>
          </w:p>
          <w:p>
            <w:pPr>
              <w:pStyle w:val="28"/>
              <w:numPr>
                <w:ilvl w:val="0"/>
                <w:numId w:val="10"/>
              </w:numPr>
              <w:overflowPunct/>
              <w:autoSpaceDE/>
              <w:autoSpaceDN/>
              <w:adjustRightInd/>
              <w:spacing w:after="120" w:line="259" w:lineRule="auto"/>
              <w:ind w:firstLineChars="0"/>
              <w:textAlignment w:val="auto"/>
            </w:pPr>
            <w:r>
              <w:t>when the UL target TCI state is unknown but</w:t>
            </w:r>
            <w:r>
              <w:rPr>
                <w:rFonts w:hint="eastAsia" w:eastAsiaTheme="minorEastAsia"/>
                <w:lang w:eastAsia="ko-KR"/>
              </w:rPr>
              <w:t xml:space="preserve"> </w:t>
            </w:r>
            <w:r>
              <w:t>when the target pathloss reference signal is known.</w:t>
            </w:r>
          </w:p>
          <w:p>
            <w:pPr>
              <w:pStyle w:val="28"/>
              <w:numPr>
                <w:ilvl w:val="0"/>
                <w:numId w:val="5"/>
              </w:numPr>
              <w:overflowPunct/>
              <w:autoSpaceDE/>
              <w:autoSpaceDN/>
              <w:adjustRightInd/>
              <w:spacing w:after="120" w:line="259" w:lineRule="auto"/>
              <w:ind w:left="1236" w:leftChars="0" w:firstLineChars="0"/>
              <w:textAlignment w:val="auto"/>
              <w:rPr>
                <w:rFonts w:hint="default"/>
                <w:highlight w:val="none"/>
                <w:vertAlign w:val="baseline"/>
                <w:lang w:val="en-US" w:eastAsia="zh-CN"/>
              </w:rPr>
            </w:pPr>
            <w:r>
              <w:rPr>
                <w:rFonts w:eastAsiaTheme="minorEastAsia"/>
                <w:bCs/>
                <w:lang w:eastAsia="zh-CN"/>
              </w:rPr>
              <w:t>Option 3: No additional requirements are defined or needed</w:t>
            </w:r>
          </w:p>
        </w:tc>
      </w:tr>
    </w:tbl>
    <w:p>
      <w:pPr>
        <w:pStyle w:val="3"/>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For MAC CE based PL-RS switching requirement when PL-RS is unknown, re-use MAC CE based UL TCI state switch delay of unknown case.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bookmarkStart w:id="7" w:name="_GoBack"/>
      <w:bookmarkEnd w:id="7"/>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unified TCI state</w:t>
      </w:r>
      <w:r>
        <w:rPr>
          <w:rFonts w:eastAsia="宋体"/>
          <w:bCs/>
          <w:color w:val="auto"/>
          <w:sz w:val="21"/>
          <w:szCs w:val="21"/>
          <w:lang w:val="en-GB" w:eastAsia="zh-CN"/>
        </w:rPr>
        <w:t>:</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It is necessary to clarify t</w:t>
      </w:r>
      <w:r>
        <w:rPr>
          <w:rFonts w:hint="eastAsia" w:ascii="Times New Roman" w:hAnsi="Times New Roman" w:eastAsia="宋体" w:cs="Times New Roman"/>
          <w:b/>
          <w:bCs/>
          <w:color w:val="auto"/>
          <w:sz w:val="21"/>
          <w:szCs w:val="21"/>
          <w:highlight w:val="none"/>
          <w:lang w:val="en-US" w:eastAsia="zh-CN" w:bidi="ar-SA"/>
        </w:rPr>
        <w:t xml:space="preserve">he </w:t>
      </w:r>
      <w:r>
        <w:rPr>
          <w:rFonts w:hint="eastAsia" w:eastAsia="宋体" w:cs="Times New Roman"/>
          <w:b/>
          <w:bCs/>
          <w:color w:val="auto"/>
          <w:sz w:val="21"/>
          <w:szCs w:val="21"/>
          <w:highlight w:val="none"/>
          <w:lang w:val="en-US" w:eastAsia="zh-CN" w:bidi="ar-SA"/>
        </w:rPr>
        <w:t>applicability of DCI base TCI state switching delay requirements, including the following three cases: 1) When target TCI state is known; 2) When target TCI state is in active TCI state list for DL and joint TCI switch; 3) When target TCI state is maintained for UL and joint TCI state switch.</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procedure of RX beam refining and PL-RS measurement should not be combined. UE should perform PL-RS measurement with an assumed RX beam.</w:t>
      </w:r>
    </w:p>
    <w:p>
      <w:pPr>
        <w:pStyle w:val="3"/>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We prefer to insist on the original agreements even when the SSB is indicated as PL-RS in UL TCI state.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TCI state-pair indication belongs to separate mode, so we prefer to use the DL and UL TCI state switching delay requirements respectively for TCI state pair indication, and correspondingly the DL and UL TCI state can be switched independently.</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known condition in CA scenario, we have the following suggestions:</w:t>
      </w:r>
    </w:p>
    <w:p>
      <w:pPr>
        <w:pStyle w:val="3"/>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The known condition should be dependent on shared RS or different RS.</w:t>
      </w:r>
    </w:p>
    <w:p>
      <w:pPr>
        <w:pStyle w:val="3"/>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For the case of different RS, i.e. each BWP/CC configured with respective TCI state pool, reusing the existing known condition. Once the source RS of target TCI state is known for each CC in the intra-band CC group, which means the known condition is satisfied.</w:t>
      </w:r>
    </w:p>
    <w:p>
      <w:pPr>
        <w:pStyle w:val="3"/>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 For the case of shared RS, i.e. a reference BWP/CC configured with a reference TCI state pool, If the associated RS in common TCI state provides QCL-TypeD, the known condition can only consider whether the associated RS in the reference CC is known or not. </w:t>
      </w:r>
    </w:p>
    <w:p>
      <w:pPr>
        <w:pStyle w:val="3"/>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For MAC CE based PL-RS switching requirement when PL-RS is unknown, re-use MAC CE based UL TCI state switch delay of unknown case.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rPr>
          <w:rFonts w:hint="default" w:eastAsia="宋体"/>
          <w:color w:val="auto"/>
          <w:highlight w:val="none"/>
          <w:lang w:val="en-US" w:eastAsia="zh-CN"/>
        </w:rPr>
      </w:pPr>
      <w:r>
        <w:rPr>
          <w:rFonts w:hint="eastAsia"/>
          <w:color w:val="auto"/>
          <w:highlight w:val="none"/>
          <w:lang w:val="en-US" w:eastAsia="zh-CN"/>
        </w:rPr>
        <w:t xml:space="preserve">R4-2206943, </w:t>
      </w:r>
      <w:r>
        <w:rPr>
          <w:rFonts w:hint="default"/>
          <w:color w:val="auto"/>
          <w:highlight w:val="none"/>
          <w:lang w:val="en-US" w:eastAsia="zh-CN"/>
        </w:rPr>
        <w:t>“</w:t>
      </w:r>
      <w:r>
        <w:rPr>
          <w:rFonts w:hint="eastAsia"/>
          <w:color w:val="auto"/>
          <w:highlight w:val="none"/>
          <w:lang w:val="en-US" w:eastAsia="zh-CN"/>
        </w:rPr>
        <w:t>WF on FeMIMO RRM impact for unified TCI state</w:t>
      </w:r>
      <w:r>
        <w:rPr>
          <w:rFonts w:hint="default"/>
          <w:color w:val="auto"/>
          <w:highlight w:val="none"/>
          <w:lang w:val="en-US" w:eastAsia="zh-CN"/>
        </w:rPr>
        <w:t>”</w:t>
      </w:r>
      <w:r>
        <w:rPr>
          <w:rFonts w:hint="eastAsia"/>
          <w:color w:val="auto"/>
          <w:highlight w:val="none"/>
          <w:lang w:val="en-US" w:eastAsia="zh-CN"/>
        </w:rPr>
        <w:t xml:space="preserve">, Intel.   </w:t>
      </w: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CAA8F57"/>
    <w:multiLevelType w:val="singleLevel"/>
    <w:tmpl w:val="1CAA8F57"/>
    <w:lvl w:ilvl="0" w:tentative="0">
      <w:start w:val="1"/>
      <w:numFmt w:val="bullet"/>
      <w:lvlText w:val=""/>
      <w:lvlJc w:val="left"/>
      <w:pPr>
        <w:ind w:left="420" w:hanging="420"/>
      </w:pPr>
      <w:rPr>
        <w:rFonts w:hint="default" w:ascii="Wingdings" w:hAnsi="Wingdings"/>
      </w:rPr>
    </w:lvl>
  </w:abstractNum>
  <w:abstractNum w:abstractNumId="2">
    <w:nsid w:val="21B67E40"/>
    <w:multiLevelType w:val="multilevel"/>
    <w:tmpl w:val="21B67E40"/>
    <w:lvl w:ilvl="0" w:tentative="0">
      <w:start w:val="1"/>
      <w:numFmt w:val="lowerRoman"/>
      <w:lvlText w:val="%1."/>
      <w:lvlJc w:val="righ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A6B0847"/>
    <w:multiLevelType w:val="multilevel"/>
    <w:tmpl w:val="2A6B0847"/>
    <w:lvl w:ilvl="0" w:tentative="0">
      <w:start w:val="1"/>
      <w:numFmt w:val="bullet"/>
      <w:lvlText w:val=""/>
      <w:lvlJc w:val="left"/>
      <w:pPr>
        <w:ind w:left="3096" w:hanging="360"/>
      </w:pPr>
      <w:rPr>
        <w:rFonts w:hint="default" w:ascii="Symbol" w:hAnsi="Symbol"/>
      </w:rPr>
    </w:lvl>
    <w:lvl w:ilvl="1" w:tentative="0">
      <w:start w:val="1"/>
      <w:numFmt w:val="bullet"/>
      <w:lvlText w:val="o"/>
      <w:lvlJc w:val="left"/>
      <w:pPr>
        <w:ind w:left="3816" w:hanging="360"/>
      </w:pPr>
      <w:rPr>
        <w:rFonts w:hint="default" w:ascii="Courier New" w:hAnsi="Courier New" w:cs="Courier New"/>
      </w:rPr>
    </w:lvl>
    <w:lvl w:ilvl="2" w:tentative="0">
      <w:start w:val="1"/>
      <w:numFmt w:val="bullet"/>
      <w:lvlText w:val=""/>
      <w:lvlJc w:val="left"/>
      <w:pPr>
        <w:ind w:left="4536" w:hanging="360"/>
      </w:pPr>
      <w:rPr>
        <w:rFonts w:hint="default" w:ascii="Wingdings" w:hAnsi="Wingdings"/>
      </w:rPr>
    </w:lvl>
    <w:lvl w:ilvl="3" w:tentative="0">
      <w:start w:val="1"/>
      <w:numFmt w:val="bullet"/>
      <w:lvlText w:val=""/>
      <w:lvlJc w:val="left"/>
      <w:pPr>
        <w:ind w:left="5256" w:hanging="360"/>
      </w:pPr>
      <w:rPr>
        <w:rFonts w:hint="default" w:ascii="Symbol" w:hAnsi="Symbol"/>
      </w:rPr>
    </w:lvl>
    <w:lvl w:ilvl="4" w:tentative="0">
      <w:start w:val="1"/>
      <w:numFmt w:val="bullet"/>
      <w:lvlText w:val="o"/>
      <w:lvlJc w:val="left"/>
      <w:pPr>
        <w:ind w:left="5976" w:hanging="360"/>
      </w:pPr>
      <w:rPr>
        <w:rFonts w:hint="default" w:ascii="Courier New" w:hAnsi="Courier New" w:cs="Courier New"/>
      </w:rPr>
    </w:lvl>
    <w:lvl w:ilvl="5" w:tentative="0">
      <w:start w:val="1"/>
      <w:numFmt w:val="bullet"/>
      <w:lvlText w:val=""/>
      <w:lvlJc w:val="left"/>
      <w:pPr>
        <w:ind w:left="6696" w:hanging="360"/>
      </w:pPr>
      <w:rPr>
        <w:rFonts w:hint="default" w:ascii="Wingdings" w:hAnsi="Wingdings"/>
      </w:rPr>
    </w:lvl>
    <w:lvl w:ilvl="6" w:tentative="0">
      <w:start w:val="1"/>
      <w:numFmt w:val="bullet"/>
      <w:lvlText w:val=""/>
      <w:lvlJc w:val="left"/>
      <w:pPr>
        <w:ind w:left="7416" w:hanging="360"/>
      </w:pPr>
      <w:rPr>
        <w:rFonts w:hint="default" w:ascii="Symbol" w:hAnsi="Symbol"/>
      </w:rPr>
    </w:lvl>
    <w:lvl w:ilvl="7" w:tentative="0">
      <w:start w:val="1"/>
      <w:numFmt w:val="bullet"/>
      <w:lvlText w:val="o"/>
      <w:lvlJc w:val="left"/>
      <w:pPr>
        <w:ind w:left="8136" w:hanging="360"/>
      </w:pPr>
      <w:rPr>
        <w:rFonts w:hint="default" w:ascii="Courier New" w:hAnsi="Courier New" w:cs="Courier New"/>
      </w:rPr>
    </w:lvl>
    <w:lvl w:ilvl="8" w:tentative="0">
      <w:start w:val="1"/>
      <w:numFmt w:val="bullet"/>
      <w:lvlText w:val=""/>
      <w:lvlJc w:val="left"/>
      <w:pPr>
        <w:ind w:left="8856" w:hanging="360"/>
      </w:pPr>
      <w:rPr>
        <w:rFonts w:hint="default" w:ascii="Wingdings" w:hAnsi="Wingdings"/>
      </w:rPr>
    </w:lvl>
  </w:abstractNum>
  <w:abstractNum w:abstractNumId="4">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E062E0A"/>
    <w:multiLevelType w:val="multilevel"/>
    <w:tmpl w:val="3E062E0A"/>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25"/>
      <w:numFmt w:val="bullet"/>
      <w:lvlText w:val="-"/>
      <w:lvlJc w:val="left"/>
      <w:pPr>
        <w:ind w:left="2340" w:hanging="360"/>
      </w:pPr>
      <w:rPr>
        <w:rFonts w:hint="default" w:ascii="Times New Roman" w:hAnsi="Times New Roman" w:cs="Times New Roman" w:eastAsiaTheme="minorEastAsia"/>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8">
    <w:nsid w:val="67F74A50"/>
    <w:multiLevelType w:val="singleLevel"/>
    <w:tmpl w:val="67F74A50"/>
    <w:lvl w:ilvl="0" w:tentative="0">
      <w:start w:val="1"/>
      <w:numFmt w:val="bullet"/>
      <w:lvlText w:val=""/>
      <w:lvlJc w:val="left"/>
      <w:pPr>
        <w:ind w:left="420" w:hanging="420"/>
      </w:pPr>
      <w:rPr>
        <w:rFonts w:hint="default" w:ascii="Wingdings" w:hAnsi="Wingdings"/>
      </w:rPr>
    </w:lvl>
  </w:abstractNum>
  <w:abstractNum w:abstractNumId="9">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0"/>
  </w:num>
  <w:num w:numId="4">
    <w:abstractNumId w:val="4"/>
  </w:num>
  <w:num w:numId="5">
    <w:abstractNumId w:val="7"/>
  </w:num>
  <w:num w:numId="6">
    <w:abstractNumId w:val="2"/>
  </w:num>
  <w:num w:numId="7">
    <w:abstractNumId w:val="5"/>
  </w:num>
  <w:num w:numId="8">
    <w:abstractNumId w:val="1"/>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1CE0363"/>
    <w:rsid w:val="028B6A1D"/>
    <w:rsid w:val="028F1C3E"/>
    <w:rsid w:val="0297438F"/>
    <w:rsid w:val="03110BA5"/>
    <w:rsid w:val="04F447C1"/>
    <w:rsid w:val="05123449"/>
    <w:rsid w:val="05C42923"/>
    <w:rsid w:val="05E724AA"/>
    <w:rsid w:val="0626382A"/>
    <w:rsid w:val="07CD3CDD"/>
    <w:rsid w:val="0855671D"/>
    <w:rsid w:val="09716BCA"/>
    <w:rsid w:val="09AD4F9D"/>
    <w:rsid w:val="09E644B8"/>
    <w:rsid w:val="0ADF7600"/>
    <w:rsid w:val="0BB0429A"/>
    <w:rsid w:val="0CB97ACD"/>
    <w:rsid w:val="0CD014B3"/>
    <w:rsid w:val="0DBB01ED"/>
    <w:rsid w:val="0E8A2AC7"/>
    <w:rsid w:val="0EA20233"/>
    <w:rsid w:val="0EC815B9"/>
    <w:rsid w:val="0F446A2E"/>
    <w:rsid w:val="0F5F76E0"/>
    <w:rsid w:val="0F644A12"/>
    <w:rsid w:val="0F7F19AF"/>
    <w:rsid w:val="112A64E5"/>
    <w:rsid w:val="14773990"/>
    <w:rsid w:val="1481754F"/>
    <w:rsid w:val="148A67E1"/>
    <w:rsid w:val="148F5721"/>
    <w:rsid w:val="14AC57CD"/>
    <w:rsid w:val="1540792E"/>
    <w:rsid w:val="160C27CA"/>
    <w:rsid w:val="164514BE"/>
    <w:rsid w:val="170F06AA"/>
    <w:rsid w:val="17911D0C"/>
    <w:rsid w:val="180A6E32"/>
    <w:rsid w:val="183F2CD2"/>
    <w:rsid w:val="18CD0507"/>
    <w:rsid w:val="18D95881"/>
    <w:rsid w:val="1980062A"/>
    <w:rsid w:val="1ABD48FA"/>
    <w:rsid w:val="1AD01A1B"/>
    <w:rsid w:val="1B2E6DFA"/>
    <w:rsid w:val="1B7B4E35"/>
    <w:rsid w:val="1C177B08"/>
    <w:rsid w:val="1C4E28F6"/>
    <w:rsid w:val="1C9001C6"/>
    <w:rsid w:val="1CBA2101"/>
    <w:rsid w:val="1D0573D7"/>
    <w:rsid w:val="1D0B674C"/>
    <w:rsid w:val="1D153DC4"/>
    <w:rsid w:val="1D223E0B"/>
    <w:rsid w:val="1D2B14A2"/>
    <w:rsid w:val="1E6211AB"/>
    <w:rsid w:val="1E853F6F"/>
    <w:rsid w:val="1E8F45A9"/>
    <w:rsid w:val="1EB32AA2"/>
    <w:rsid w:val="1ECC1E3C"/>
    <w:rsid w:val="1FDA0E82"/>
    <w:rsid w:val="20371001"/>
    <w:rsid w:val="21244EB1"/>
    <w:rsid w:val="21F13629"/>
    <w:rsid w:val="22FB1CE4"/>
    <w:rsid w:val="24122135"/>
    <w:rsid w:val="258F4033"/>
    <w:rsid w:val="25932BF9"/>
    <w:rsid w:val="25AA2F33"/>
    <w:rsid w:val="265B50B5"/>
    <w:rsid w:val="26AE2CCC"/>
    <w:rsid w:val="26BB1419"/>
    <w:rsid w:val="281C12F4"/>
    <w:rsid w:val="29553F3A"/>
    <w:rsid w:val="29A05E8C"/>
    <w:rsid w:val="2A13772C"/>
    <w:rsid w:val="2A3916E1"/>
    <w:rsid w:val="2A7E505C"/>
    <w:rsid w:val="2B471816"/>
    <w:rsid w:val="2B954C89"/>
    <w:rsid w:val="2BA1692B"/>
    <w:rsid w:val="2BC05B2C"/>
    <w:rsid w:val="2BD617C5"/>
    <w:rsid w:val="2C112837"/>
    <w:rsid w:val="2CC146D3"/>
    <w:rsid w:val="2D9B7E13"/>
    <w:rsid w:val="2F2F0FC8"/>
    <w:rsid w:val="300A5D96"/>
    <w:rsid w:val="301C6BB6"/>
    <w:rsid w:val="31437A9E"/>
    <w:rsid w:val="31B14C9E"/>
    <w:rsid w:val="34471EEA"/>
    <w:rsid w:val="34F80A7B"/>
    <w:rsid w:val="35B06C6A"/>
    <w:rsid w:val="36D37423"/>
    <w:rsid w:val="38726558"/>
    <w:rsid w:val="3A185287"/>
    <w:rsid w:val="3A692CD0"/>
    <w:rsid w:val="3B3B2DF3"/>
    <w:rsid w:val="3B673620"/>
    <w:rsid w:val="3B6968C8"/>
    <w:rsid w:val="3B9A1F29"/>
    <w:rsid w:val="3C6D5868"/>
    <w:rsid w:val="3CE4646B"/>
    <w:rsid w:val="3D5E7AA8"/>
    <w:rsid w:val="3D6F2596"/>
    <w:rsid w:val="3E0A69BE"/>
    <w:rsid w:val="3ED5737F"/>
    <w:rsid w:val="401B3A6B"/>
    <w:rsid w:val="405F175E"/>
    <w:rsid w:val="40C765F3"/>
    <w:rsid w:val="42F869D2"/>
    <w:rsid w:val="434F4799"/>
    <w:rsid w:val="43553536"/>
    <w:rsid w:val="439745B4"/>
    <w:rsid w:val="44C443CD"/>
    <w:rsid w:val="44E45241"/>
    <w:rsid w:val="44F46037"/>
    <w:rsid w:val="451632B9"/>
    <w:rsid w:val="453954E9"/>
    <w:rsid w:val="455D061C"/>
    <w:rsid w:val="45A40767"/>
    <w:rsid w:val="45E3457D"/>
    <w:rsid w:val="45F60A50"/>
    <w:rsid w:val="46B036BF"/>
    <w:rsid w:val="47282363"/>
    <w:rsid w:val="49E55BC5"/>
    <w:rsid w:val="4A796308"/>
    <w:rsid w:val="4A9449B3"/>
    <w:rsid w:val="4C1C63D6"/>
    <w:rsid w:val="4C864A35"/>
    <w:rsid w:val="4C873395"/>
    <w:rsid w:val="4D321410"/>
    <w:rsid w:val="4E015C76"/>
    <w:rsid w:val="4E4A2325"/>
    <w:rsid w:val="501A6C55"/>
    <w:rsid w:val="50E3745A"/>
    <w:rsid w:val="519A6ACC"/>
    <w:rsid w:val="51B14BED"/>
    <w:rsid w:val="52280006"/>
    <w:rsid w:val="525C1CEF"/>
    <w:rsid w:val="52F41789"/>
    <w:rsid w:val="537F744A"/>
    <w:rsid w:val="53C64B93"/>
    <w:rsid w:val="53F07453"/>
    <w:rsid w:val="55B1164D"/>
    <w:rsid w:val="55B4735E"/>
    <w:rsid w:val="56371459"/>
    <w:rsid w:val="56875C1B"/>
    <w:rsid w:val="59DA647E"/>
    <w:rsid w:val="5A556E1A"/>
    <w:rsid w:val="5BB306CC"/>
    <w:rsid w:val="5D8941DA"/>
    <w:rsid w:val="5D982E42"/>
    <w:rsid w:val="5DC62232"/>
    <w:rsid w:val="5EB44FC0"/>
    <w:rsid w:val="5FBA395F"/>
    <w:rsid w:val="60662C20"/>
    <w:rsid w:val="62B047E1"/>
    <w:rsid w:val="635902CD"/>
    <w:rsid w:val="64706BBE"/>
    <w:rsid w:val="64F2095B"/>
    <w:rsid w:val="66770492"/>
    <w:rsid w:val="67052A96"/>
    <w:rsid w:val="671A4BC2"/>
    <w:rsid w:val="67A858DB"/>
    <w:rsid w:val="691B180A"/>
    <w:rsid w:val="691F2D87"/>
    <w:rsid w:val="69A833BD"/>
    <w:rsid w:val="6AE05BF9"/>
    <w:rsid w:val="6C61743D"/>
    <w:rsid w:val="6C677C3E"/>
    <w:rsid w:val="6DDE3DAF"/>
    <w:rsid w:val="6DE05144"/>
    <w:rsid w:val="6F160B9A"/>
    <w:rsid w:val="6F556B14"/>
    <w:rsid w:val="6FAF202B"/>
    <w:rsid w:val="6FE94925"/>
    <w:rsid w:val="70540BC6"/>
    <w:rsid w:val="70814FA6"/>
    <w:rsid w:val="715F4C2D"/>
    <w:rsid w:val="72BF60CA"/>
    <w:rsid w:val="7522275B"/>
    <w:rsid w:val="752872FE"/>
    <w:rsid w:val="753811DE"/>
    <w:rsid w:val="75BE67D4"/>
    <w:rsid w:val="75C759C1"/>
    <w:rsid w:val="762D64F3"/>
    <w:rsid w:val="775B4604"/>
    <w:rsid w:val="77C067C3"/>
    <w:rsid w:val="77C6011D"/>
    <w:rsid w:val="78141A2A"/>
    <w:rsid w:val="788C6E3C"/>
    <w:rsid w:val="78911E31"/>
    <w:rsid w:val="795E51DA"/>
    <w:rsid w:val="7A076CB0"/>
    <w:rsid w:val="7A9367CB"/>
    <w:rsid w:val="7AEC3E2E"/>
    <w:rsid w:val="7AF22571"/>
    <w:rsid w:val="7B8F69AF"/>
    <w:rsid w:val="7C1C35A7"/>
    <w:rsid w:val="7C45431D"/>
    <w:rsid w:val="7C5B0E57"/>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1"/>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0"/>
    <w:pPr>
      <w:spacing w:after="120"/>
      <w:jc w:val="both"/>
    </w:pPr>
    <w:rPr>
      <w:rFonts w:eastAsia="MS Mincho"/>
      <w:lang w:val="zh-CN"/>
    </w:r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29"/>
    <w:semiHidden/>
    <w:unhideWhenUsed/>
    <w:qFormat/>
    <w:uiPriority w:val="99"/>
    <w:rPr>
      <w:rFonts w:ascii="宋体" w:eastAsia="宋体"/>
      <w:sz w:val="18"/>
      <w:szCs w:val="18"/>
    </w:rPr>
  </w:style>
  <w:style w:type="paragraph" w:styleId="11">
    <w:name w:val="annotation text"/>
    <w:basedOn w:val="1"/>
    <w:semiHidden/>
    <w:unhideWhenUsed/>
    <w:qFormat/>
    <w:uiPriority w:val="99"/>
    <w:pPr>
      <w:jc w:val="left"/>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10"/>
    <w:semiHidden/>
    <w:qFormat/>
    <w:uiPriority w:val="99"/>
    <w:rPr>
      <w:rFonts w:ascii="宋体" w:hAnsi="Times New Roman"/>
      <w:sz w:val="18"/>
      <w:szCs w:val="18"/>
      <w:lang w:eastAsia="en-US"/>
    </w:rPr>
  </w:style>
  <w:style w:type="paragraph" w:customStyle="1" w:styleId="30">
    <w:name w:val="B1"/>
    <w:basedOn w:val="8"/>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9"/>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7"/>
    <w:qFormat/>
    <w:uiPriority w:val="0"/>
  </w:style>
  <w:style w:type="paragraph" w:customStyle="1" w:styleId="55">
    <w:name w:val="B3"/>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9</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2022-04-25T10:13:49Z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